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DB6A2" w14:textId="69C598D1" w:rsidR="00D772B4" w:rsidRPr="0027318E" w:rsidRDefault="00D772B4" w:rsidP="000366A9">
      <w:pPr>
        <w:spacing w:after="120" w:line="276" w:lineRule="auto"/>
        <w:rPr>
          <w:rFonts w:ascii="GHEA Grapalat" w:eastAsiaTheme="majorEastAsia" w:hAnsi="GHEA Grapalat" w:cs="Sylfaen"/>
          <w:b/>
          <w:bCs/>
          <w:color w:val="000000" w:themeColor="text1"/>
          <w:sz w:val="20"/>
          <w:szCs w:val="20"/>
        </w:rPr>
      </w:pPr>
    </w:p>
    <w:sdt>
      <w:sdtPr>
        <w:rPr>
          <w:rFonts w:ascii="GHEA Grapalat" w:eastAsiaTheme="minorHAnsi" w:hAnsi="GHEA Grapalat" w:cstheme="minorBidi"/>
          <w:b w:val="0"/>
          <w:bCs w:val="0"/>
          <w:color w:val="7030A0"/>
          <w:sz w:val="22"/>
          <w:szCs w:val="22"/>
          <w:lang w:val="en-GB"/>
        </w:rPr>
        <w:id w:val="-2039497931"/>
        <w:docPartObj>
          <w:docPartGallery w:val="Table of Contents"/>
          <w:docPartUnique/>
        </w:docPartObj>
      </w:sdtPr>
      <w:sdtEndPr>
        <w:rPr>
          <w:noProof/>
          <w:color w:val="auto"/>
          <w:sz w:val="18"/>
          <w:szCs w:val="18"/>
          <w:lang w:val="en-US"/>
        </w:rPr>
      </w:sdtEndPr>
      <w:sdtContent>
        <w:p w14:paraId="60A328F7" w14:textId="77777777" w:rsidR="006D3DC3" w:rsidRPr="00A77E64" w:rsidRDefault="006D3DC3" w:rsidP="006D3DC3">
          <w:pPr>
            <w:pStyle w:val="TOCHeading"/>
            <w:rPr>
              <w:rFonts w:ascii="GHEA Grapalat" w:hAnsi="GHEA Grapalat"/>
              <w:color w:val="7030A0"/>
              <w:sz w:val="20"/>
              <w:szCs w:val="20"/>
              <w:lang w:val="hy-AM"/>
            </w:rPr>
          </w:pPr>
          <w:r w:rsidRPr="00A77E64">
            <w:rPr>
              <w:rFonts w:ascii="GHEA Grapalat" w:hAnsi="GHEA Grapalat"/>
              <w:color w:val="7030A0"/>
              <w:sz w:val="24"/>
              <w:szCs w:val="24"/>
              <w:lang w:val="hy-AM"/>
            </w:rPr>
            <w:t>Բովանդակություն</w:t>
          </w:r>
        </w:p>
        <w:p w14:paraId="6E6771A1" w14:textId="77777777" w:rsidR="006D3DC3" w:rsidRPr="00A77E64" w:rsidRDefault="006D3DC3" w:rsidP="006D3DC3">
          <w:pPr>
            <w:rPr>
              <w:rFonts w:ascii="GHEA Grapalat" w:hAnsi="GHEA Grapalat"/>
              <w:sz w:val="20"/>
              <w:szCs w:val="20"/>
              <w:lang w:val="hy-AM"/>
            </w:rPr>
          </w:pPr>
        </w:p>
        <w:p w14:paraId="7647C454" w14:textId="6E1A7A28" w:rsidR="004A04B9" w:rsidRPr="00A77E64" w:rsidRDefault="006D3DC3">
          <w:pPr>
            <w:pStyle w:val="TOC1"/>
            <w:rPr>
              <w:rFonts w:eastAsiaTheme="minorEastAsia" w:cstheme="minorBidi"/>
              <w:sz w:val="20"/>
              <w:szCs w:val="20"/>
            </w:rPr>
          </w:pPr>
          <w:r w:rsidRPr="00A77E64">
            <w:rPr>
              <w:noProof w:val="0"/>
              <w:sz w:val="20"/>
              <w:szCs w:val="20"/>
            </w:rPr>
            <w:fldChar w:fldCharType="begin"/>
          </w:r>
          <w:r w:rsidRPr="00A77E64">
            <w:rPr>
              <w:sz w:val="20"/>
              <w:szCs w:val="20"/>
            </w:rPr>
            <w:instrText xml:space="preserve"> TOC \o "1-3" \h \z \u </w:instrText>
          </w:r>
          <w:r w:rsidRPr="00A77E64">
            <w:rPr>
              <w:noProof w:val="0"/>
              <w:sz w:val="20"/>
              <w:szCs w:val="20"/>
            </w:rPr>
            <w:fldChar w:fldCharType="separate"/>
          </w:r>
          <w:hyperlink w:anchor="_Toc96025846" w:history="1">
            <w:r w:rsidR="004A04B9" w:rsidRPr="00A77E64">
              <w:rPr>
                <w:rStyle w:val="Hyperlink"/>
                <w:rFonts w:cs="Sylfaen"/>
                <w:b/>
                <w:sz w:val="20"/>
                <w:szCs w:val="20"/>
              </w:rPr>
              <w:t>ԳԼՈՒԽ</w:t>
            </w:r>
            <w:r w:rsidR="004A04B9" w:rsidRPr="00A77E64">
              <w:rPr>
                <w:rStyle w:val="Hyperlink"/>
                <w:b/>
                <w:sz w:val="20"/>
                <w:szCs w:val="20"/>
              </w:rPr>
              <w:t xml:space="preserve"> III. </w:t>
            </w:r>
            <w:r w:rsidR="004A04B9" w:rsidRPr="00A77E64">
              <w:rPr>
                <w:rStyle w:val="Hyperlink"/>
                <w:rFonts w:cs="Sylfaen"/>
                <w:b/>
                <w:sz w:val="20"/>
                <w:szCs w:val="20"/>
              </w:rPr>
              <w:t>ՀԱՎԱՍԱՐԱԿՇՌՎԱԾ</w:t>
            </w:r>
            <w:r w:rsidR="004A04B9" w:rsidRPr="00A77E64">
              <w:rPr>
                <w:rStyle w:val="Hyperlink"/>
                <w:b/>
                <w:sz w:val="20"/>
                <w:szCs w:val="20"/>
              </w:rPr>
              <w:t xml:space="preserve"> </w:t>
            </w:r>
            <w:r w:rsidR="004A04B9" w:rsidRPr="00A77E64">
              <w:rPr>
                <w:rStyle w:val="Hyperlink"/>
                <w:rFonts w:cs="Sylfaen"/>
                <w:b/>
                <w:sz w:val="20"/>
                <w:szCs w:val="20"/>
              </w:rPr>
              <w:t>ՄԵԽԱՆԻԶՄՆԵՐ</w:t>
            </w:r>
            <w:r w:rsidR="004A04B9" w:rsidRPr="00A77E64">
              <w:rPr>
                <w:rStyle w:val="Hyperlink"/>
                <w:b/>
                <w:sz w:val="20"/>
                <w:szCs w:val="20"/>
              </w:rPr>
              <w:t xml:space="preserve"> </w:t>
            </w:r>
            <w:r w:rsidR="004A04B9" w:rsidRPr="00A77E64">
              <w:rPr>
                <w:rStyle w:val="Hyperlink"/>
                <w:rFonts w:cs="Sylfaen"/>
                <w:b/>
                <w:sz w:val="20"/>
                <w:szCs w:val="20"/>
              </w:rPr>
              <w:t>ՀՈՂԻ</w:t>
            </w:r>
            <w:r w:rsidR="004A04B9" w:rsidRPr="00A77E64">
              <w:rPr>
                <w:rStyle w:val="Hyperlink"/>
                <w:b/>
                <w:sz w:val="20"/>
                <w:szCs w:val="20"/>
              </w:rPr>
              <w:t xml:space="preserve"> </w:t>
            </w:r>
            <w:r w:rsidR="004A04B9" w:rsidRPr="00A77E64">
              <w:rPr>
                <w:rStyle w:val="Hyperlink"/>
                <w:rFonts w:cs="Sylfaen"/>
                <w:b/>
                <w:sz w:val="20"/>
                <w:szCs w:val="20"/>
              </w:rPr>
              <w:t>ՁԵՌՔԲԵՐՄԱՆ</w:t>
            </w:r>
            <w:r w:rsidR="004A04B9" w:rsidRPr="00A77E64">
              <w:rPr>
                <w:rStyle w:val="Hyperlink"/>
                <w:b/>
                <w:sz w:val="20"/>
                <w:szCs w:val="20"/>
              </w:rPr>
              <w:t xml:space="preserve"> </w:t>
            </w:r>
            <w:r w:rsidR="004A04B9" w:rsidRPr="00A77E64">
              <w:rPr>
                <w:rStyle w:val="Hyperlink"/>
                <w:rFonts w:cs="Sylfaen"/>
                <w:b/>
                <w:sz w:val="20"/>
                <w:szCs w:val="20"/>
              </w:rPr>
              <w:t>ԵՎ</w:t>
            </w:r>
            <w:r w:rsidR="004A04B9" w:rsidRPr="00A77E64">
              <w:rPr>
                <w:rStyle w:val="Hyperlink"/>
                <w:b/>
                <w:sz w:val="20"/>
                <w:szCs w:val="20"/>
              </w:rPr>
              <w:t xml:space="preserve"> </w:t>
            </w:r>
            <w:r w:rsidR="004A04B9" w:rsidRPr="00A77E64">
              <w:rPr>
                <w:rStyle w:val="Hyperlink"/>
                <w:rFonts w:cs="Sylfaen"/>
                <w:b/>
                <w:sz w:val="20"/>
                <w:szCs w:val="20"/>
              </w:rPr>
              <w:t>ՀԱՆՐԱՅԻՆ</w:t>
            </w:r>
            <w:r w:rsidR="004A04B9" w:rsidRPr="00A77E64">
              <w:rPr>
                <w:rStyle w:val="Hyperlink"/>
                <w:b/>
                <w:sz w:val="20"/>
                <w:szCs w:val="20"/>
              </w:rPr>
              <w:t xml:space="preserve"> </w:t>
            </w:r>
            <w:r w:rsidR="004A04B9" w:rsidRPr="00A77E64">
              <w:rPr>
                <w:rStyle w:val="Hyperlink"/>
                <w:rFonts w:cs="Sylfaen"/>
                <w:b/>
                <w:sz w:val="20"/>
                <w:szCs w:val="20"/>
              </w:rPr>
              <w:t>ՇԱՀԻ</w:t>
            </w:r>
            <w:r w:rsidR="004A04B9" w:rsidRPr="00A77E64">
              <w:rPr>
                <w:rStyle w:val="Hyperlink"/>
                <w:b/>
                <w:sz w:val="20"/>
                <w:szCs w:val="20"/>
              </w:rPr>
              <w:t xml:space="preserve"> </w:t>
            </w:r>
            <w:r w:rsidR="004A04B9" w:rsidRPr="00A77E64">
              <w:rPr>
                <w:rStyle w:val="Hyperlink"/>
                <w:rFonts w:cs="Sylfaen"/>
                <w:b/>
                <w:sz w:val="20"/>
                <w:szCs w:val="20"/>
              </w:rPr>
              <w:t>ՀԱՄԱՐ</w:t>
            </w:r>
            <w:r w:rsidR="004A04B9" w:rsidRPr="00A77E64">
              <w:rPr>
                <w:webHidden/>
                <w:sz w:val="20"/>
                <w:szCs w:val="20"/>
              </w:rPr>
              <w:tab/>
            </w:r>
            <w:r w:rsidR="004A04B9" w:rsidRPr="00A77E64">
              <w:rPr>
                <w:webHidden/>
                <w:sz w:val="20"/>
                <w:szCs w:val="20"/>
              </w:rPr>
              <w:fldChar w:fldCharType="begin"/>
            </w:r>
            <w:r w:rsidR="004A04B9" w:rsidRPr="00A77E64">
              <w:rPr>
                <w:webHidden/>
                <w:sz w:val="20"/>
                <w:szCs w:val="20"/>
              </w:rPr>
              <w:instrText xml:space="preserve"> PAGEREF _Toc96025846 \h </w:instrText>
            </w:r>
            <w:r w:rsidR="004A04B9" w:rsidRPr="00A77E64">
              <w:rPr>
                <w:webHidden/>
                <w:sz w:val="20"/>
                <w:szCs w:val="20"/>
              </w:rPr>
            </w:r>
            <w:r w:rsidR="004A04B9" w:rsidRPr="00A77E64">
              <w:rPr>
                <w:webHidden/>
                <w:sz w:val="20"/>
                <w:szCs w:val="20"/>
              </w:rPr>
              <w:fldChar w:fldCharType="separate"/>
            </w:r>
            <w:r w:rsidR="00AF5C67">
              <w:rPr>
                <w:webHidden/>
                <w:sz w:val="20"/>
                <w:szCs w:val="20"/>
              </w:rPr>
              <w:t>1</w:t>
            </w:r>
            <w:r w:rsidR="004A04B9" w:rsidRPr="00A77E64">
              <w:rPr>
                <w:webHidden/>
                <w:sz w:val="20"/>
                <w:szCs w:val="20"/>
              </w:rPr>
              <w:fldChar w:fldCharType="end"/>
            </w:r>
          </w:hyperlink>
        </w:p>
        <w:p w14:paraId="3A43C88C" w14:textId="30810F9D" w:rsidR="004A04B9" w:rsidRPr="00A77E64" w:rsidRDefault="003326E4">
          <w:pPr>
            <w:pStyle w:val="TOC3"/>
            <w:tabs>
              <w:tab w:val="left" w:pos="1440"/>
              <w:tab w:val="right" w:leader="dot" w:pos="9962"/>
            </w:tabs>
            <w:rPr>
              <w:rFonts w:ascii="GHEA Grapalat" w:eastAsiaTheme="minorEastAsia" w:hAnsi="GHEA Grapalat" w:cstheme="minorBidi"/>
              <w:noProof/>
            </w:rPr>
          </w:pPr>
          <w:hyperlink w:anchor="_Toc96025847" w:history="1">
            <w:r w:rsidR="004A04B9" w:rsidRPr="00A77E64">
              <w:rPr>
                <w:rStyle w:val="Hyperlink"/>
                <w:rFonts w:ascii="GHEA Grapalat" w:hAnsi="GHEA Grapalat"/>
                <w:b/>
                <w:bCs/>
                <w:noProof/>
                <w:lang w:val="hy-AM"/>
              </w:rPr>
              <w:t>3.1.1.</w:t>
            </w:r>
            <w:r w:rsidR="004A04B9" w:rsidRPr="00A77E64">
              <w:rPr>
                <w:rFonts w:ascii="GHEA Grapalat" w:eastAsiaTheme="minorEastAsia" w:hAnsi="GHEA Grapalat" w:cstheme="minorBidi"/>
                <w:noProof/>
              </w:rPr>
              <w:tab/>
            </w:r>
            <w:r w:rsidR="004A04B9" w:rsidRPr="00A77E64">
              <w:rPr>
                <w:rStyle w:val="Hyperlink"/>
                <w:rFonts w:ascii="GHEA Grapalat" w:hAnsi="GHEA Grapalat" w:cs="Sylfaen"/>
                <w:b/>
                <w:bCs/>
                <w:noProof/>
                <w:lang w:val="hy-AM"/>
              </w:rPr>
              <w:t>ԱՌԿԱ</w:t>
            </w:r>
            <w:r w:rsidR="004A04B9" w:rsidRPr="00A77E64">
              <w:rPr>
                <w:rStyle w:val="Hyperlink"/>
                <w:rFonts w:ascii="GHEA Grapalat" w:hAnsi="GHEA Grapalat"/>
                <w:b/>
                <w:bCs/>
                <w:noProof/>
                <w:lang w:val="hy-AM"/>
              </w:rPr>
              <w:t xml:space="preserve"> </w:t>
            </w:r>
            <w:r w:rsidR="004A04B9" w:rsidRPr="00A77E64">
              <w:rPr>
                <w:rStyle w:val="Hyperlink"/>
                <w:rFonts w:ascii="GHEA Grapalat" w:hAnsi="GHEA Grapalat" w:cs="Sylfaen"/>
                <w:b/>
                <w:bCs/>
                <w:noProof/>
                <w:lang w:val="hy-AM"/>
              </w:rPr>
              <w:t>ԻՐԱՎԻՃԱԿԻ</w:t>
            </w:r>
            <w:r w:rsidR="004A04B9" w:rsidRPr="00A77E64">
              <w:rPr>
                <w:rStyle w:val="Hyperlink"/>
                <w:rFonts w:ascii="GHEA Grapalat" w:hAnsi="GHEA Grapalat"/>
                <w:b/>
                <w:bCs/>
                <w:noProof/>
                <w:lang w:val="hy-AM"/>
              </w:rPr>
              <w:t xml:space="preserve"> </w:t>
            </w:r>
            <w:r w:rsidR="004A04B9" w:rsidRPr="00A77E64">
              <w:rPr>
                <w:rStyle w:val="Hyperlink"/>
                <w:rFonts w:ascii="GHEA Grapalat" w:hAnsi="GHEA Grapalat" w:cs="Sylfaen"/>
                <w:b/>
                <w:bCs/>
                <w:noProof/>
                <w:lang w:val="hy-AM"/>
              </w:rPr>
              <w:t>ՎԵՐԼՈՒԾՈՒԹՅՈՒՆ</w:t>
            </w:r>
            <w:r w:rsidR="004A04B9" w:rsidRPr="00A77E64">
              <w:rPr>
                <w:rStyle w:val="Hyperlink"/>
                <w:rFonts w:ascii="GHEA Grapalat" w:hAnsi="GHEA Grapalat"/>
                <w:b/>
                <w:bCs/>
                <w:noProof/>
                <w:lang w:val="hy-AM"/>
              </w:rPr>
              <w:t xml:space="preserve"> </w:t>
            </w:r>
            <w:r w:rsidR="004A04B9" w:rsidRPr="00A77E64">
              <w:rPr>
                <w:rStyle w:val="Hyperlink"/>
                <w:rFonts w:ascii="GHEA Grapalat" w:hAnsi="GHEA Grapalat" w:cs="Sylfaen"/>
                <w:b/>
                <w:bCs/>
                <w:noProof/>
                <w:lang w:val="hy-AM"/>
              </w:rPr>
              <w:t>ԵՎ</w:t>
            </w:r>
            <w:r w:rsidR="004A04B9" w:rsidRPr="00A77E64">
              <w:rPr>
                <w:rStyle w:val="Hyperlink"/>
                <w:rFonts w:ascii="GHEA Grapalat" w:hAnsi="GHEA Grapalat"/>
                <w:b/>
                <w:bCs/>
                <w:noProof/>
                <w:lang w:val="hy-AM"/>
              </w:rPr>
              <w:t xml:space="preserve"> </w:t>
            </w:r>
            <w:r w:rsidR="004A04B9" w:rsidRPr="00A77E64">
              <w:rPr>
                <w:rStyle w:val="Hyperlink"/>
                <w:rFonts w:ascii="GHEA Grapalat" w:hAnsi="GHEA Grapalat" w:cs="Sylfaen"/>
                <w:b/>
                <w:bCs/>
                <w:noProof/>
                <w:lang w:val="hy-AM"/>
              </w:rPr>
              <w:t>ԽՆԴՐԻ</w:t>
            </w:r>
            <w:r w:rsidR="004A04B9" w:rsidRPr="00A77E64">
              <w:rPr>
                <w:rStyle w:val="Hyperlink"/>
                <w:rFonts w:ascii="GHEA Grapalat" w:hAnsi="GHEA Grapalat"/>
                <w:b/>
                <w:bCs/>
                <w:noProof/>
                <w:lang w:val="hy-AM"/>
              </w:rPr>
              <w:t xml:space="preserve"> </w:t>
            </w:r>
            <w:r w:rsidR="004A04B9" w:rsidRPr="00A77E64">
              <w:rPr>
                <w:rStyle w:val="Hyperlink"/>
                <w:rFonts w:ascii="GHEA Grapalat" w:hAnsi="GHEA Grapalat" w:cs="Sylfaen"/>
                <w:b/>
                <w:bCs/>
                <w:noProof/>
                <w:lang w:val="hy-AM"/>
              </w:rPr>
              <w:t>ԼՈՒԾՄԱՆ</w:t>
            </w:r>
            <w:r w:rsidR="004A04B9" w:rsidRPr="00A77E64">
              <w:rPr>
                <w:rStyle w:val="Hyperlink"/>
                <w:rFonts w:ascii="GHEA Grapalat" w:hAnsi="GHEA Grapalat"/>
                <w:b/>
                <w:bCs/>
                <w:noProof/>
                <w:lang w:val="hy-AM"/>
              </w:rPr>
              <w:t xml:space="preserve"> </w:t>
            </w:r>
            <w:r w:rsidR="004A04B9" w:rsidRPr="00A77E64">
              <w:rPr>
                <w:rStyle w:val="Hyperlink"/>
                <w:rFonts w:ascii="GHEA Grapalat" w:hAnsi="GHEA Grapalat" w:cs="Sylfaen"/>
                <w:b/>
                <w:bCs/>
                <w:noProof/>
                <w:lang w:val="hy-AM"/>
              </w:rPr>
              <w:t>ԿԱՐԵՎՈՐՈՒԹՅՈՒՆԸ</w:t>
            </w:r>
            <w:r w:rsidR="004A04B9" w:rsidRPr="00A77E64">
              <w:rPr>
                <w:rFonts w:ascii="GHEA Grapalat" w:hAnsi="GHEA Grapalat"/>
                <w:noProof/>
                <w:webHidden/>
              </w:rPr>
              <w:tab/>
            </w:r>
            <w:r w:rsidR="004A04B9" w:rsidRPr="00A77E64">
              <w:rPr>
                <w:rFonts w:ascii="GHEA Grapalat" w:hAnsi="GHEA Grapalat"/>
                <w:noProof/>
                <w:webHidden/>
              </w:rPr>
              <w:fldChar w:fldCharType="begin"/>
            </w:r>
            <w:r w:rsidR="004A04B9" w:rsidRPr="00A77E64">
              <w:rPr>
                <w:rFonts w:ascii="GHEA Grapalat" w:hAnsi="GHEA Grapalat"/>
                <w:noProof/>
                <w:webHidden/>
              </w:rPr>
              <w:instrText xml:space="preserve"> PAGEREF _Toc96025847 \h </w:instrText>
            </w:r>
            <w:r w:rsidR="004A04B9" w:rsidRPr="00A77E64">
              <w:rPr>
                <w:rFonts w:ascii="GHEA Grapalat" w:hAnsi="GHEA Grapalat"/>
                <w:noProof/>
                <w:webHidden/>
              </w:rPr>
            </w:r>
            <w:r w:rsidR="004A04B9" w:rsidRPr="00A77E64">
              <w:rPr>
                <w:rFonts w:ascii="GHEA Grapalat" w:hAnsi="GHEA Grapalat"/>
                <w:noProof/>
                <w:webHidden/>
              </w:rPr>
              <w:fldChar w:fldCharType="separate"/>
            </w:r>
            <w:r w:rsidR="00AF5C67">
              <w:rPr>
                <w:rFonts w:ascii="GHEA Grapalat" w:hAnsi="GHEA Grapalat"/>
                <w:noProof/>
                <w:webHidden/>
              </w:rPr>
              <w:t>1</w:t>
            </w:r>
            <w:r w:rsidR="004A04B9" w:rsidRPr="00A77E64">
              <w:rPr>
                <w:rFonts w:ascii="GHEA Grapalat" w:hAnsi="GHEA Grapalat"/>
                <w:noProof/>
                <w:webHidden/>
              </w:rPr>
              <w:fldChar w:fldCharType="end"/>
            </w:r>
          </w:hyperlink>
        </w:p>
        <w:p w14:paraId="55716A6A" w14:textId="68AEB0D8" w:rsidR="004A04B9" w:rsidRPr="00A77E64" w:rsidRDefault="003326E4">
          <w:pPr>
            <w:pStyle w:val="TOC3"/>
            <w:tabs>
              <w:tab w:val="left" w:pos="1440"/>
              <w:tab w:val="right" w:leader="dot" w:pos="9962"/>
            </w:tabs>
            <w:rPr>
              <w:rFonts w:ascii="GHEA Grapalat" w:eastAsiaTheme="minorEastAsia" w:hAnsi="GHEA Grapalat" w:cstheme="minorBidi"/>
              <w:noProof/>
            </w:rPr>
          </w:pPr>
          <w:hyperlink w:anchor="_Toc96025848" w:history="1">
            <w:r w:rsidR="004A04B9" w:rsidRPr="00A77E64">
              <w:rPr>
                <w:rStyle w:val="Hyperlink"/>
                <w:rFonts w:ascii="GHEA Grapalat" w:hAnsi="GHEA Grapalat"/>
                <w:b/>
                <w:bCs/>
                <w:noProof/>
                <w:lang w:val="hy-AM"/>
              </w:rPr>
              <w:t>3.1.2.</w:t>
            </w:r>
            <w:r w:rsidR="004A04B9" w:rsidRPr="00A77E64">
              <w:rPr>
                <w:rFonts w:ascii="GHEA Grapalat" w:eastAsiaTheme="minorEastAsia" w:hAnsi="GHEA Grapalat" w:cstheme="minorBidi"/>
                <w:noProof/>
              </w:rPr>
              <w:tab/>
            </w:r>
            <w:r w:rsidR="004A04B9" w:rsidRPr="00A77E64">
              <w:rPr>
                <w:rStyle w:val="Hyperlink"/>
                <w:rFonts w:ascii="GHEA Grapalat" w:hAnsi="GHEA Grapalat" w:cs="Sylfaen"/>
                <w:b/>
                <w:bCs/>
                <w:noProof/>
                <w:lang w:val="hy-AM"/>
              </w:rPr>
              <w:t>ԳՐԱԿԱՆՈՒԹՅԱՆ</w:t>
            </w:r>
            <w:r w:rsidR="004A04B9" w:rsidRPr="00A77E64">
              <w:rPr>
                <w:rStyle w:val="Hyperlink"/>
                <w:rFonts w:ascii="GHEA Grapalat" w:hAnsi="GHEA Grapalat"/>
                <w:b/>
                <w:bCs/>
                <w:noProof/>
                <w:lang w:val="hy-AM"/>
              </w:rPr>
              <w:t xml:space="preserve"> </w:t>
            </w:r>
            <w:r w:rsidR="004A04B9" w:rsidRPr="00A77E64">
              <w:rPr>
                <w:rStyle w:val="Hyperlink"/>
                <w:rFonts w:ascii="GHEA Grapalat" w:hAnsi="GHEA Grapalat" w:cs="Sylfaen"/>
                <w:b/>
                <w:bCs/>
                <w:noProof/>
                <w:lang w:val="hy-AM"/>
              </w:rPr>
              <w:t>ՎԵՐԼՈՒԾՈՒԹՅՈՒՆ</w:t>
            </w:r>
            <w:r w:rsidR="004A04B9" w:rsidRPr="00A77E64">
              <w:rPr>
                <w:rFonts w:ascii="GHEA Grapalat" w:hAnsi="GHEA Grapalat"/>
                <w:noProof/>
                <w:webHidden/>
              </w:rPr>
              <w:tab/>
            </w:r>
            <w:r w:rsidR="004A04B9" w:rsidRPr="00A77E64">
              <w:rPr>
                <w:rFonts w:ascii="GHEA Grapalat" w:hAnsi="GHEA Grapalat"/>
                <w:noProof/>
                <w:webHidden/>
              </w:rPr>
              <w:fldChar w:fldCharType="begin"/>
            </w:r>
            <w:r w:rsidR="004A04B9" w:rsidRPr="00A77E64">
              <w:rPr>
                <w:rFonts w:ascii="GHEA Grapalat" w:hAnsi="GHEA Grapalat"/>
                <w:noProof/>
                <w:webHidden/>
              </w:rPr>
              <w:instrText xml:space="preserve"> PAGEREF _Toc96025848 \h </w:instrText>
            </w:r>
            <w:r w:rsidR="004A04B9" w:rsidRPr="00A77E64">
              <w:rPr>
                <w:rFonts w:ascii="GHEA Grapalat" w:hAnsi="GHEA Grapalat"/>
                <w:noProof/>
                <w:webHidden/>
              </w:rPr>
            </w:r>
            <w:r w:rsidR="004A04B9" w:rsidRPr="00A77E64">
              <w:rPr>
                <w:rFonts w:ascii="GHEA Grapalat" w:hAnsi="GHEA Grapalat"/>
                <w:noProof/>
                <w:webHidden/>
              </w:rPr>
              <w:fldChar w:fldCharType="separate"/>
            </w:r>
            <w:r w:rsidR="00AF5C67">
              <w:rPr>
                <w:rFonts w:ascii="GHEA Grapalat" w:hAnsi="GHEA Grapalat"/>
                <w:noProof/>
                <w:webHidden/>
              </w:rPr>
              <w:t>3</w:t>
            </w:r>
            <w:r w:rsidR="004A04B9" w:rsidRPr="00A77E64">
              <w:rPr>
                <w:rFonts w:ascii="GHEA Grapalat" w:hAnsi="GHEA Grapalat"/>
                <w:noProof/>
                <w:webHidden/>
              </w:rPr>
              <w:fldChar w:fldCharType="end"/>
            </w:r>
          </w:hyperlink>
        </w:p>
        <w:p w14:paraId="7B0C5040" w14:textId="2B2A6226" w:rsidR="004A04B9" w:rsidRPr="00A77E64" w:rsidRDefault="003326E4">
          <w:pPr>
            <w:pStyle w:val="TOC2"/>
            <w:tabs>
              <w:tab w:val="left" w:pos="1200"/>
              <w:tab w:val="right" w:leader="dot" w:pos="9962"/>
            </w:tabs>
            <w:rPr>
              <w:rFonts w:ascii="GHEA Grapalat" w:eastAsiaTheme="minorEastAsia" w:hAnsi="GHEA Grapalat" w:cstheme="minorBidi"/>
              <w:b w:val="0"/>
              <w:bCs w:val="0"/>
              <w:noProof/>
              <w:sz w:val="20"/>
              <w:szCs w:val="20"/>
            </w:rPr>
          </w:pPr>
          <w:hyperlink w:anchor="_Toc96025849" w:history="1">
            <w:r w:rsidR="004A04B9" w:rsidRPr="00A77E64">
              <w:rPr>
                <w:rStyle w:val="Hyperlink"/>
                <w:rFonts w:ascii="GHEA Grapalat" w:eastAsia="Calibri" w:hAnsi="GHEA Grapalat" w:cs="Sylfaen"/>
                <w:noProof/>
                <w:sz w:val="20"/>
                <w:szCs w:val="20"/>
                <w:lang w:val="hy-AM"/>
              </w:rPr>
              <w:t>3.1.3.</w:t>
            </w:r>
            <w:r w:rsidR="004A04B9" w:rsidRPr="00A77E64">
              <w:rPr>
                <w:rFonts w:ascii="GHEA Grapalat" w:eastAsiaTheme="minorEastAsia" w:hAnsi="GHEA Grapalat" w:cstheme="minorBidi"/>
                <w:b w:val="0"/>
                <w:bCs w:val="0"/>
                <w:noProof/>
                <w:sz w:val="20"/>
                <w:szCs w:val="20"/>
              </w:rPr>
              <w:tab/>
            </w:r>
            <w:r w:rsidR="004A04B9" w:rsidRPr="00A77E64">
              <w:rPr>
                <w:rStyle w:val="Hyperlink"/>
                <w:rFonts w:ascii="GHEA Grapalat" w:eastAsia="Calibri" w:hAnsi="GHEA Grapalat" w:cs="Sylfaen"/>
                <w:noProof/>
                <w:sz w:val="20"/>
                <w:szCs w:val="20"/>
                <w:lang w:val="hy-AM"/>
              </w:rPr>
              <w:t>ԻՐԱՎԱԿԱՆ ԴԱՇՏԻ ՎԵՐԼՈՒԾՈՒԹՅՈՒՆ</w:t>
            </w:r>
            <w:r w:rsidR="004A04B9" w:rsidRPr="00A77E64">
              <w:rPr>
                <w:rFonts w:ascii="GHEA Grapalat" w:hAnsi="GHEA Grapalat"/>
                <w:noProof/>
                <w:webHidden/>
                <w:sz w:val="20"/>
                <w:szCs w:val="20"/>
              </w:rPr>
              <w:tab/>
            </w:r>
            <w:r w:rsidR="004A04B9" w:rsidRPr="00A77E64">
              <w:rPr>
                <w:rFonts w:ascii="GHEA Grapalat" w:hAnsi="GHEA Grapalat"/>
                <w:noProof/>
                <w:webHidden/>
                <w:sz w:val="20"/>
                <w:szCs w:val="20"/>
              </w:rPr>
              <w:fldChar w:fldCharType="begin"/>
            </w:r>
            <w:r w:rsidR="004A04B9" w:rsidRPr="00A77E64">
              <w:rPr>
                <w:rFonts w:ascii="GHEA Grapalat" w:hAnsi="GHEA Grapalat"/>
                <w:noProof/>
                <w:webHidden/>
                <w:sz w:val="20"/>
                <w:szCs w:val="20"/>
              </w:rPr>
              <w:instrText xml:space="preserve"> PAGEREF _Toc96025849 \h </w:instrText>
            </w:r>
            <w:r w:rsidR="004A04B9" w:rsidRPr="00A77E64">
              <w:rPr>
                <w:rFonts w:ascii="GHEA Grapalat" w:hAnsi="GHEA Grapalat"/>
                <w:noProof/>
                <w:webHidden/>
                <w:sz w:val="20"/>
                <w:szCs w:val="20"/>
              </w:rPr>
            </w:r>
            <w:r w:rsidR="004A04B9" w:rsidRPr="00A77E64">
              <w:rPr>
                <w:rFonts w:ascii="GHEA Grapalat" w:hAnsi="GHEA Grapalat"/>
                <w:noProof/>
                <w:webHidden/>
                <w:sz w:val="20"/>
                <w:szCs w:val="20"/>
              </w:rPr>
              <w:fldChar w:fldCharType="separate"/>
            </w:r>
            <w:r w:rsidR="00AF5C67">
              <w:rPr>
                <w:rFonts w:ascii="GHEA Grapalat" w:hAnsi="GHEA Grapalat"/>
                <w:noProof/>
                <w:webHidden/>
                <w:sz w:val="20"/>
                <w:szCs w:val="20"/>
              </w:rPr>
              <w:t>7</w:t>
            </w:r>
            <w:r w:rsidR="004A04B9" w:rsidRPr="00A77E64">
              <w:rPr>
                <w:rFonts w:ascii="GHEA Grapalat" w:hAnsi="GHEA Grapalat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26FAF19" w14:textId="79623372" w:rsidR="004A04B9" w:rsidRPr="00A77E64" w:rsidRDefault="003326E4">
          <w:pPr>
            <w:pStyle w:val="TOC2"/>
            <w:tabs>
              <w:tab w:val="left" w:pos="1200"/>
              <w:tab w:val="right" w:leader="dot" w:pos="9962"/>
            </w:tabs>
            <w:rPr>
              <w:rFonts w:ascii="GHEA Grapalat" w:eastAsiaTheme="minorEastAsia" w:hAnsi="GHEA Grapalat" w:cstheme="minorBidi"/>
              <w:b w:val="0"/>
              <w:bCs w:val="0"/>
              <w:noProof/>
              <w:sz w:val="20"/>
              <w:szCs w:val="20"/>
            </w:rPr>
          </w:pPr>
          <w:hyperlink w:anchor="_Toc96025850" w:history="1">
            <w:r w:rsidR="004A04B9" w:rsidRPr="00A77E64">
              <w:rPr>
                <w:rStyle w:val="Hyperlink"/>
                <w:rFonts w:ascii="GHEA Grapalat" w:eastAsia="Calibri" w:hAnsi="GHEA Grapalat"/>
                <w:noProof/>
                <w:sz w:val="20"/>
                <w:szCs w:val="20"/>
                <w:lang w:val="hy-AM"/>
              </w:rPr>
              <w:t>3.1.4.</w:t>
            </w:r>
            <w:r w:rsidR="004A04B9" w:rsidRPr="00A77E64">
              <w:rPr>
                <w:rFonts w:ascii="GHEA Grapalat" w:eastAsiaTheme="minorEastAsia" w:hAnsi="GHEA Grapalat" w:cstheme="minorBidi"/>
                <w:b w:val="0"/>
                <w:bCs w:val="0"/>
                <w:noProof/>
                <w:sz w:val="20"/>
                <w:szCs w:val="20"/>
              </w:rPr>
              <w:tab/>
            </w:r>
            <w:r w:rsidR="004A04B9" w:rsidRPr="00A77E64">
              <w:rPr>
                <w:rStyle w:val="Hyperlink"/>
                <w:rFonts w:ascii="GHEA Grapalat" w:eastAsia="Calibri" w:hAnsi="GHEA Grapalat" w:cs="Sylfaen"/>
                <w:noProof/>
                <w:sz w:val="20"/>
                <w:szCs w:val="20"/>
                <w:lang w:val="hy-AM"/>
              </w:rPr>
              <w:t>ՀԱՄԱԴՐԵԼԻ</w:t>
            </w:r>
            <w:r w:rsidR="004A04B9" w:rsidRPr="00A77E64">
              <w:rPr>
                <w:rStyle w:val="Hyperlink"/>
                <w:rFonts w:ascii="GHEA Grapalat" w:eastAsia="Calibri" w:hAnsi="GHEA Grapalat"/>
                <w:noProof/>
                <w:sz w:val="20"/>
                <w:szCs w:val="20"/>
                <w:lang w:val="hy-AM"/>
              </w:rPr>
              <w:t xml:space="preserve"> </w:t>
            </w:r>
            <w:r w:rsidR="004A04B9" w:rsidRPr="00A77E64">
              <w:rPr>
                <w:rStyle w:val="Hyperlink"/>
                <w:rFonts w:ascii="GHEA Grapalat" w:eastAsia="Calibri" w:hAnsi="GHEA Grapalat" w:cs="Sylfaen"/>
                <w:noProof/>
                <w:sz w:val="20"/>
                <w:szCs w:val="20"/>
                <w:lang w:val="hy-AM"/>
              </w:rPr>
              <w:t>ԼԱՎԱԳՈՒՅՆ</w:t>
            </w:r>
            <w:r w:rsidR="004A04B9" w:rsidRPr="00A77E64">
              <w:rPr>
                <w:rStyle w:val="Hyperlink"/>
                <w:rFonts w:ascii="GHEA Grapalat" w:eastAsia="Calibri" w:hAnsi="GHEA Grapalat"/>
                <w:noProof/>
                <w:sz w:val="20"/>
                <w:szCs w:val="20"/>
                <w:lang w:val="hy-AM"/>
              </w:rPr>
              <w:t xml:space="preserve"> </w:t>
            </w:r>
            <w:r w:rsidR="004A04B9" w:rsidRPr="00A77E64">
              <w:rPr>
                <w:rStyle w:val="Hyperlink"/>
                <w:rFonts w:ascii="GHEA Grapalat" w:eastAsia="Calibri" w:hAnsi="GHEA Grapalat" w:cs="Sylfaen"/>
                <w:noProof/>
                <w:sz w:val="20"/>
                <w:szCs w:val="20"/>
                <w:lang w:val="hy-AM"/>
              </w:rPr>
              <w:t>ՄԻՋԱԶԳԱՅԻՆ</w:t>
            </w:r>
            <w:r w:rsidR="004A04B9" w:rsidRPr="00A77E64">
              <w:rPr>
                <w:rStyle w:val="Hyperlink"/>
                <w:rFonts w:ascii="GHEA Grapalat" w:eastAsia="Calibri" w:hAnsi="GHEA Grapalat"/>
                <w:noProof/>
                <w:sz w:val="20"/>
                <w:szCs w:val="20"/>
                <w:lang w:val="hy-AM"/>
              </w:rPr>
              <w:t xml:space="preserve"> </w:t>
            </w:r>
            <w:r w:rsidR="004A04B9" w:rsidRPr="00A77E64">
              <w:rPr>
                <w:rStyle w:val="Hyperlink"/>
                <w:rFonts w:ascii="GHEA Grapalat" w:eastAsia="Calibri" w:hAnsi="GHEA Grapalat" w:cs="Sylfaen"/>
                <w:noProof/>
                <w:sz w:val="20"/>
                <w:szCs w:val="20"/>
                <w:lang w:val="hy-AM"/>
              </w:rPr>
              <w:t>ՓՈՐՁԻ</w:t>
            </w:r>
            <w:r w:rsidR="004A04B9" w:rsidRPr="00A77E64">
              <w:rPr>
                <w:rStyle w:val="Hyperlink"/>
                <w:rFonts w:ascii="GHEA Grapalat" w:eastAsia="Calibri" w:hAnsi="GHEA Grapalat"/>
                <w:noProof/>
                <w:sz w:val="20"/>
                <w:szCs w:val="20"/>
                <w:lang w:val="hy-AM"/>
              </w:rPr>
              <w:t xml:space="preserve"> </w:t>
            </w:r>
            <w:r w:rsidR="004A04B9" w:rsidRPr="00A77E64">
              <w:rPr>
                <w:rStyle w:val="Hyperlink"/>
                <w:rFonts w:ascii="GHEA Grapalat" w:eastAsia="Calibri" w:hAnsi="GHEA Grapalat" w:cs="Sylfaen"/>
                <w:noProof/>
                <w:sz w:val="20"/>
                <w:szCs w:val="20"/>
                <w:lang w:val="hy-AM"/>
              </w:rPr>
              <w:t>ՎԵՐԼՈՒԾՈՒԹՅՈՒՆ</w:t>
            </w:r>
            <w:r w:rsidR="004A04B9" w:rsidRPr="00A77E64">
              <w:rPr>
                <w:rFonts w:ascii="GHEA Grapalat" w:hAnsi="GHEA Grapalat"/>
                <w:noProof/>
                <w:webHidden/>
                <w:sz w:val="20"/>
                <w:szCs w:val="20"/>
              </w:rPr>
              <w:tab/>
            </w:r>
            <w:r w:rsidR="004A04B9" w:rsidRPr="00A77E64">
              <w:rPr>
                <w:rFonts w:ascii="GHEA Grapalat" w:hAnsi="GHEA Grapalat"/>
                <w:noProof/>
                <w:webHidden/>
                <w:sz w:val="20"/>
                <w:szCs w:val="20"/>
              </w:rPr>
              <w:fldChar w:fldCharType="begin"/>
            </w:r>
            <w:r w:rsidR="004A04B9" w:rsidRPr="00A77E64">
              <w:rPr>
                <w:rFonts w:ascii="GHEA Grapalat" w:hAnsi="GHEA Grapalat"/>
                <w:noProof/>
                <w:webHidden/>
                <w:sz w:val="20"/>
                <w:szCs w:val="20"/>
              </w:rPr>
              <w:instrText xml:space="preserve"> PAGEREF _Toc96025850 \h </w:instrText>
            </w:r>
            <w:r w:rsidR="004A04B9" w:rsidRPr="00A77E64">
              <w:rPr>
                <w:rFonts w:ascii="GHEA Grapalat" w:hAnsi="GHEA Grapalat"/>
                <w:noProof/>
                <w:webHidden/>
                <w:sz w:val="20"/>
                <w:szCs w:val="20"/>
              </w:rPr>
            </w:r>
            <w:r w:rsidR="004A04B9" w:rsidRPr="00A77E64">
              <w:rPr>
                <w:rFonts w:ascii="GHEA Grapalat" w:hAnsi="GHEA Grapalat"/>
                <w:noProof/>
                <w:webHidden/>
                <w:sz w:val="20"/>
                <w:szCs w:val="20"/>
              </w:rPr>
              <w:fldChar w:fldCharType="separate"/>
            </w:r>
            <w:r w:rsidR="00AF5C67">
              <w:rPr>
                <w:rFonts w:ascii="GHEA Grapalat" w:hAnsi="GHEA Grapalat"/>
                <w:noProof/>
                <w:webHidden/>
                <w:sz w:val="20"/>
                <w:szCs w:val="20"/>
              </w:rPr>
              <w:t>10</w:t>
            </w:r>
            <w:r w:rsidR="004A04B9" w:rsidRPr="00A77E64">
              <w:rPr>
                <w:rFonts w:ascii="GHEA Grapalat" w:hAnsi="GHEA Grapalat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19D11B3" w14:textId="444509ED" w:rsidR="004A04B9" w:rsidRPr="00A77E64" w:rsidRDefault="003326E4">
          <w:pPr>
            <w:pStyle w:val="TOC2"/>
            <w:tabs>
              <w:tab w:val="left" w:pos="1200"/>
              <w:tab w:val="right" w:leader="dot" w:pos="9962"/>
            </w:tabs>
            <w:rPr>
              <w:rFonts w:ascii="GHEA Grapalat" w:eastAsiaTheme="minorEastAsia" w:hAnsi="GHEA Grapalat" w:cstheme="minorBidi"/>
              <w:b w:val="0"/>
              <w:bCs w:val="0"/>
              <w:noProof/>
              <w:sz w:val="20"/>
              <w:szCs w:val="20"/>
            </w:rPr>
          </w:pPr>
          <w:hyperlink w:anchor="_Toc96025851" w:history="1">
            <w:r w:rsidR="004A04B9" w:rsidRPr="00A77E64">
              <w:rPr>
                <w:rStyle w:val="Hyperlink"/>
                <w:rFonts w:ascii="GHEA Grapalat" w:eastAsia="Calibri" w:hAnsi="GHEA Grapalat" w:cs="Sylfaen"/>
                <w:noProof/>
                <w:sz w:val="20"/>
                <w:szCs w:val="20"/>
                <w:lang w:val="hy-AM"/>
              </w:rPr>
              <w:t>3.1.5.</w:t>
            </w:r>
            <w:r w:rsidR="004A04B9" w:rsidRPr="00A77E64">
              <w:rPr>
                <w:rFonts w:ascii="GHEA Grapalat" w:eastAsiaTheme="minorEastAsia" w:hAnsi="GHEA Grapalat" w:cstheme="minorBidi"/>
                <w:b w:val="0"/>
                <w:bCs w:val="0"/>
                <w:noProof/>
                <w:sz w:val="20"/>
                <w:szCs w:val="20"/>
              </w:rPr>
              <w:tab/>
            </w:r>
            <w:r w:rsidR="004A04B9" w:rsidRPr="00A77E64">
              <w:rPr>
                <w:rStyle w:val="Hyperlink"/>
                <w:rFonts w:ascii="GHEA Grapalat" w:eastAsia="Calibri" w:hAnsi="GHEA Grapalat" w:cs="Sylfaen"/>
                <w:noProof/>
                <w:sz w:val="20"/>
                <w:szCs w:val="20"/>
                <w:lang w:val="hy-AM"/>
              </w:rPr>
              <w:t>ԱՆՀՐԱԺԵՇՏ ՄԻՋՈՑԱՌՈՒՄՆԵՐԸ ԵՎ ԴՐԱՆՑ ԻՐԱԳՈՐԾԵԼԻՈՒԹՅԱՆ ՈՒ ԱՐԴՅՈՒՆԱՎԵՏՈՒԹՅԱՆ ԳՆԱՀԱՏՈՒՄ</w:t>
            </w:r>
            <w:r w:rsidR="004A04B9" w:rsidRPr="00A77E64">
              <w:rPr>
                <w:rFonts w:ascii="GHEA Grapalat" w:hAnsi="GHEA Grapalat"/>
                <w:noProof/>
                <w:webHidden/>
                <w:sz w:val="20"/>
                <w:szCs w:val="20"/>
              </w:rPr>
              <w:tab/>
            </w:r>
            <w:r w:rsidR="004A04B9" w:rsidRPr="00A77E64">
              <w:rPr>
                <w:rFonts w:ascii="GHEA Grapalat" w:hAnsi="GHEA Grapalat"/>
                <w:noProof/>
                <w:webHidden/>
                <w:sz w:val="20"/>
                <w:szCs w:val="20"/>
              </w:rPr>
              <w:fldChar w:fldCharType="begin"/>
            </w:r>
            <w:r w:rsidR="004A04B9" w:rsidRPr="00A77E64">
              <w:rPr>
                <w:rFonts w:ascii="GHEA Grapalat" w:hAnsi="GHEA Grapalat"/>
                <w:noProof/>
                <w:webHidden/>
                <w:sz w:val="20"/>
                <w:szCs w:val="20"/>
              </w:rPr>
              <w:instrText xml:space="preserve"> PAGEREF _Toc96025851 \h </w:instrText>
            </w:r>
            <w:r w:rsidR="004A04B9" w:rsidRPr="00A77E64">
              <w:rPr>
                <w:rFonts w:ascii="GHEA Grapalat" w:hAnsi="GHEA Grapalat"/>
                <w:noProof/>
                <w:webHidden/>
                <w:sz w:val="20"/>
                <w:szCs w:val="20"/>
              </w:rPr>
            </w:r>
            <w:r w:rsidR="004A04B9" w:rsidRPr="00A77E64">
              <w:rPr>
                <w:rFonts w:ascii="GHEA Grapalat" w:hAnsi="GHEA Grapalat"/>
                <w:noProof/>
                <w:webHidden/>
                <w:sz w:val="20"/>
                <w:szCs w:val="20"/>
              </w:rPr>
              <w:fldChar w:fldCharType="separate"/>
            </w:r>
            <w:r w:rsidR="00AF5C67">
              <w:rPr>
                <w:rFonts w:ascii="GHEA Grapalat" w:hAnsi="GHEA Grapalat"/>
                <w:noProof/>
                <w:webHidden/>
                <w:sz w:val="20"/>
                <w:szCs w:val="20"/>
              </w:rPr>
              <w:t>14</w:t>
            </w:r>
            <w:r w:rsidR="004A04B9" w:rsidRPr="00A77E64">
              <w:rPr>
                <w:rFonts w:ascii="GHEA Grapalat" w:hAnsi="GHEA Grapalat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1BCBBAB" w14:textId="70E59451" w:rsidR="004A04B9" w:rsidRPr="00A77E64" w:rsidRDefault="003326E4">
          <w:pPr>
            <w:pStyle w:val="TOC2"/>
            <w:tabs>
              <w:tab w:val="left" w:pos="1200"/>
              <w:tab w:val="right" w:leader="dot" w:pos="9962"/>
            </w:tabs>
            <w:rPr>
              <w:rFonts w:ascii="GHEA Grapalat" w:eastAsiaTheme="minorEastAsia" w:hAnsi="GHEA Grapalat" w:cstheme="minorBidi"/>
              <w:b w:val="0"/>
              <w:bCs w:val="0"/>
              <w:noProof/>
              <w:sz w:val="20"/>
              <w:szCs w:val="20"/>
            </w:rPr>
          </w:pPr>
          <w:hyperlink w:anchor="_Toc96025852" w:history="1">
            <w:r w:rsidR="004A04B9" w:rsidRPr="00A77E64">
              <w:rPr>
                <w:rStyle w:val="Hyperlink"/>
                <w:rFonts w:ascii="GHEA Grapalat" w:eastAsia="Calibri" w:hAnsi="GHEA Grapalat" w:cs="Sylfaen"/>
                <w:noProof/>
                <w:sz w:val="20"/>
                <w:szCs w:val="20"/>
                <w:lang w:val="hy-AM"/>
              </w:rPr>
              <w:t>3.1.6.ՄԻՋՈՑԱՌՈՒՄՆԵՐԻ ԻՐԱԿԱՆԱՑՄԱՆ ՀԻՄՆԱԿԱՆ ԽՈՉԸՆԴՈՏՆԵՐԸ/ ՄԱՐՏԱՀՐԱՎԵՐՆԵՐԸ</w:t>
            </w:r>
            <w:r w:rsidR="004A04B9" w:rsidRPr="00A77E64">
              <w:rPr>
                <w:rFonts w:ascii="GHEA Grapalat" w:hAnsi="GHEA Grapalat"/>
                <w:noProof/>
                <w:webHidden/>
                <w:sz w:val="20"/>
                <w:szCs w:val="20"/>
              </w:rPr>
              <w:tab/>
            </w:r>
            <w:r w:rsidR="0027318E">
              <w:rPr>
                <w:rFonts w:ascii="GHEA Grapalat" w:hAnsi="GHEA Grapalat"/>
                <w:noProof/>
                <w:webHidden/>
                <w:sz w:val="20"/>
                <w:szCs w:val="20"/>
              </w:rPr>
              <w:t>…</w:t>
            </w:r>
            <w:r w:rsidR="004A04B9" w:rsidRPr="00A77E64">
              <w:rPr>
                <w:rFonts w:ascii="GHEA Grapalat" w:hAnsi="GHEA Grapalat"/>
                <w:noProof/>
                <w:webHidden/>
                <w:sz w:val="20"/>
                <w:szCs w:val="20"/>
              </w:rPr>
              <w:fldChar w:fldCharType="begin"/>
            </w:r>
            <w:r w:rsidR="004A04B9" w:rsidRPr="00A77E64">
              <w:rPr>
                <w:rFonts w:ascii="GHEA Grapalat" w:hAnsi="GHEA Grapalat"/>
                <w:noProof/>
                <w:webHidden/>
                <w:sz w:val="20"/>
                <w:szCs w:val="20"/>
              </w:rPr>
              <w:instrText xml:space="preserve"> PAGEREF _Toc96025852 \h </w:instrText>
            </w:r>
            <w:r w:rsidR="004A04B9" w:rsidRPr="00A77E64">
              <w:rPr>
                <w:rFonts w:ascii="GHEA Grapalat" w:hAnsi="GHEA Grapalat"/>
                <w:noProof/>
                <w:webHidden/>
                <w:sz w:val="20"/>
                <w:szCs w:val="20"/>
              </w:rPr>
            </w:r>
            <w:r w:rsidR="004A04B9" w:rsidRPr="00A77E64">
              <w:rPr>
                <w:rFonts w:ascii="GHEA Grapalat" w:hAnsi="GHEA Grapalat"/>
                <w:noProof/>
                <w:webHidden/>
                <w:sz w:val="20"/>
                <w:szCs w:val="20"/>
              </w:rPr>
              <w:fldChar w:fldCharType="separate"/>
            </w:r>
            <w:r w:rsidR="00AF5C67">
              <w:rPr>
                <w:rFonts w:ascii="GHEA Grapalat" w:hAnsi="GHEA Grapalat"/>
                <w:noProof/>
                <w:webHidden/>
                <w:sz w:val="20"/>
                <w:szCs w:val="20"/>
              </w:rPr>
              <w:t>15</w:t>
            </w:r>
            <w:r w:rsidR="004A04B9" w:rsidRPr="00A77E64">
              <w:rPr>
                <w:rFonts w:ascii="GHEA Grapalat" w:hAnsi="GHEA Grapalat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0787F70" w14:textId="3A0F9F11" w:rsidR="004A04B9" w:rsidRPr="00A77E64" w:rsidRDefault="003326E4">
          <w:pPr>
            <w:pStyle w:val="TOC2"/>
            <w:tabs>
              <w:tab w:val="left" w:pos="1200"/>
              <w:tab w:val="right" w:leader="dot" w:pos="9962"/>
            </w:tabs>
            <w:rPr>
              <w:rFonts w:ascii="GHEA Grapalat" w:eastAsiaTheme="minorEastAsia" w:hAnsi="GHEA Grapalat" w:cstheme="minorBidi"/>
              <w:b w:val="0"/>
              <w:bCs w:val="0"/>
              <w:noProof/>
              <w:sz w:val="20"/>
              <w:szCs w:val="20"/>
            </w:rPr>
          </w:pPr>
          <w:hyperlink w:anchor="_Toc96025853" w:history="1">
            <w:r w:rsidR="004A04B9" w:rsidRPr="00A77E64">
              <w:rPr>
                <w:rStyle w:val="Hyperlink"/>
                <w:rFonts w:ascii="GHEA Grapalat" w:eastAsia="Calibri" w:hAnsi="GHEA Grapalat" w:cs="Arial"/>
                <w:noProof/>
                <w:sz w:val="20"/>
                <w:szCs w:val="20"/>
                <w:lang w:val="hy-AM"/>
              </w:rPr>
              <w:t>3.1.7.</w:t>
            </w:r>
            <w:r w:rsidR="004A04B9" w:rsidRPr="00A77E64">
              <w:rPr>
                <w:rFonts w:ascii="GHEA Grapalat" w:eastAsiaTheme="minorEastAsia" w:hAnsi="GHEA Grapalat" w:cstheme="minorBidi"/>
                <w:b w:val="0"/>
                <w:bCs w:val="0"/>
                <w:noProof/>
                <w:sz w:val="20"/>
                <w:szCs w:val="20"/>
              </w:rPr>
              <w:tab/>
            </w:r>
            <w:r w:rsidR="004A04B9" w:rsidRPr="00A77E64">
              <w:rPr>
                <w:rStyle w:val="Hyperlink"/>
                <w:rFonts w:ascii="GHEA Grapalat" w:eastAsia="Calibri" w:hAnsi="GHEA Grapalat" w:cs="Sylfaen"/>
                <w:noProof/>
                <w:sz w:val="20"/>
                <w:szCs w:val="20"/>
                <w:lang w:val="hy-AM"/>
              </w:rPr>
              <w:t>ՄԻՋՈՑԱՌՈՒՄՆԵՐԻ</w:t>
            </w:r>
            <w:r w:rsidR="004A04B9" w:rsidRPr="00A77E64">
              <w:rPr>
                <w:rStyle w:val="Hyperlink"/>
                <w:rFonts w:ascii="GHEA Grapalat" w:eastAsia="Calibri" w:hAnsi="GHEA Grapalat" w:cs="Arial"/>
                <w:noProof/>
                <w:sz w:val="20"/>
                <w:szCs w:val="20"/>
                <w:lang w:val="hy-AM"/>
              </w:rPr>
              <w:t xml:space="preserve"> </w:t>
            </w:r>
            <w:r w:rsidR="004A04B9" w:rsidRPr="00A77E64">
              <w:rPr>
                <w:rStyle w:val="Hyperlink"/>
                <w:rFonts w:ascii="GHEA Grapalat" w:eastAsia="Calibri" w:hAnsi="GHEA Grapalat" w:cs="Sylfaen"/>
                <w:noProof/>
                <w:sz w:val="20"/>
                <w:szCs w:val="20"/>
                <w:lang w:val="hy-AM"/>
              </w:rPr>
              <w:t>ԻՐԱԿԱՆԱՑՄԱՆ</w:t>
            </w:r>
            <w:r w:rsidR="004A04B9" w:rsidRPr="00A77E64">
              <w:rPr>
                <w:rStyle w:val="Hyperlink"/>
                <w:rFonts w:ascii="GHEA Grapalat" w:eastAsia="Calibri" w:hAnsi="GHEA Grapalat" w:cs="Arial"/>
                <w:noProof/>
                <w:sz w:val="20"/>
                <w:szCs w:val="20"/>
                <w:lang w:val="hy-AM"/>
              </w:rPr>
              <w:t xml:space="preserve"> </w:t>
            </w:r>
            <w:r w:rsidR="004A04B9" w:rsidRPr="00A77E64">
              <w:rPr>
                <w:rStyle w:val="Hyperlink"/>
                <w:rFonts w:ascii="GHEA Grapalat" w:eastAsia="Calibri" w:hAnsi="GHEA Grapalat" w:cs="Sylfaen"/>
                <w:noProof/>
                <w:sz w:val="20"/>
                <w:szCs w:val="20"/>
                <w:lang w:val="hy-AM"/>
              </w:rPr>
              <w:t>ԱՐԴՅՈՒՆՔՆԵՐԸ</w:t>
            </w:r>
            <w:r w:rsidR="004A04B9" w:rsidRPr="00A77E64">
              <w:rPr>
                <w:rStyle w:val="Hyperlink"/>
                <w:rFonts w:ascii="GHEA Grapalat" w:eastAsia="Calibri" w:hAnsi="GHEA Grapalat" w:cs="Arial"/>
                <w:noProof/>
                <w:sz w:val="20"/>
                <w:szCs w:val="20"/>
                <w:lang w:val="hy-AM"/>
              </w:rPr>
              <w:t xml:space="preserve"> </w:t>
            </w:r>
            <w:r w:rsidR="004A04B9" w:rsidRPr="00A77E64">
              <w:rPr>
                <w:rStyle w:val="Hyperlink"/>
                <w:rFonts w:ascii="GHEA Grapalat" w:eastAsia="Calibri" w:hAnsi="GHEA Grapalat" w:cs="Sylfaen"/>
                <w:noProof/>
                <w:sz w:val="20"/>
                <w:szCs w:val="20"/>
                <w:lang w:val="hy-AM"/>
              </w:rPr>
              <w:t>ԵՎ</w:t>
            </w:r>
            <w:r w:rsidR="004A04B9" w:rsidRPr="00A77E64">
              <w:rPr>
                <w:rStyle w:val="Hyperlink"/>
                <w:rFonts w:ascii="GHEA Grapalat" w:eastAsia="Calibri" w:hAnsi="GHEA Grapalat" w:cs="Arial"/>
                <w:noProof/>
                <w:sz w:val="20"/>
                <w:szCs w:val="20"/>
                <w:lang w:val="hy-AM"/>
              </w:rPr>
              <w:t xml:space="preserve"> </w:t>
            </w:r>
            <w:r w:rsidR="004A04B9" w:rsidRPr="00A77E64">
              <w:rPr>
                <w:rStyle w:val="Hyperlink"/>
                <w:rFonts w:ascii="GHEA Grapalat" w:eastAsia="Calibri" w:hAnsi="GHEA Grapalat" w:cs="Sylfaen"/>
                <w:noProof/>
                <w:sz w:val="20"/>
                <w:szCs w:val="20"/>
                <w:lang w:val="hy-AM"/>
              </w:rPr>
              <w:t>ԱԶԴԵՑՈՒԹՅՈՒՆԸ</w:t>
            </w:r>
            <w:r w:rsidR="004A04B9" w:rsidRPr="00A77E64">
              <w:rPr>
                <w:rFonts w:ascii="GHEA Grapalat" w:hAnsi="GHEA Grapalat"/>
                <w:noProof/>
                <w:webHidden/>
                <w:sz w:val="20"/>
                <w:szCs w:val="20"/>
              </w:rPr>
              <w:tab/>
            </w:r>
            <w:r w:rsidR="004A04B9" w:rsidRPr="00A77E64">
              <w:rPr>
                <w:rFonts w:ascii="GHEA Grapalat" w:hAnsi="GHEA Grapalat"/>
                <w:noProof/>
                <w:webHidden/>
                <w:sz w:val="20"/>
                <w:szCs w:val="20"/>
              </w:rPr>
              <w:fldChar w:fldCharType="begin"/>
            </w:r>
            <w:r w:rsidR="004A04B9" w:rsidRPr="00A77E64">
              <w:rPr>
                <w:rFonts w:ascii="GHEA Grapalat" w:hAnsi="GHEA Grapalat"/>
                <w:noProof/>
                <w:webHidden/>
                <w:sz w:val="20"/>
                <w:szCs w:val="20"/>
              </w:rPr>
              <w:instrText xml:space="preserve"> PAGEREF _Toc96025853 \h </w:instrText>
            </w:r>
            <w:r w:rsidR="004A04B9" w:rsidRPr="00A77E64">
              <w:rPr>
                <w:rFonts w:ascii="GHEA Grapalat" w:hAnsi="GHEA Grapalat"/>
                <w:noProof/>
                <w:webHidden/>
                <w:sz w:val="20"/>
                <w:szCs w:val="20"/>
              </w:rPr>
            </w:r>
            <w:r w:rsidR="004A04B9" w:rsidRPr="00A77E64">
              <w:rPr>
                <w:rFonts w:ascii="GHEA Grapalat" w:hAnsi="GHEA Grapalat"/>
                <w:noProof/>
                <w:webHidden/>
                <w:sz w:val="20"/>
                <w:szCs w:val="20"/>
              </w:rPr>
              <w:fldChar w:fldCharType="separate"/>
            </w:r>
            <w:r w:rsidR="00AF5C67">
              <w:rPr>
                <w:rFonts w:ascii="GHEA Grapalat" w:hAnsi="GHEA Grapalat"/>
                <w:noProof/>
                <w:webHidden/>
                <w:sz w:val="20"/>
                <w:szCs w:val="20"/>
              </w:rPr>
              <w:t>15</w:t>
            </w:r>
            <w:r w:rsidR="004A04B9" w:rsidRPr="00A77E64">
              <w:rPr>
                <w:rFonts w:ascii="GHEA Grapalat" w:hAnsi="GHEA Grapalat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A3FE1CE" w14:textId="59BDD051" w:rsidR="006D3DC3" w:rsidRPr="00A77E64" w:rsidRDefault="006D3DC3" w:rsidP="006D3DC3">
          <w:pPr>
            <w:rPr>
              <w:rFonts w:ascii="GHEA Grapalat" w:hAnsi="GHEA Grapalat"/>
              <w:sz w:val="18"/>
              <w:szCs w:val="18"/>
            </w:rPr>
          </w:pPr>
          <w:r w:rsidRPr="00A77E64">
            <w:rPr>
              <w:rFonts w:ascii="GHEA Grapalat" w:hAnsi="GHEA Grapalat"/>
              <w:noProof/>
              <w:sz w:val="20"/>
              <w:szCs w:val="20"/>
            </w:rPr>
            <w:fldChar w:fldCharType="end"/>
          </w:r>
        </w:p>
      </w:sdtContent>
    </w:sdt>
    <w:p w14:paraId="5C8475AC" w14:textId="77777777" w:rsidR="006D3DC3" w:rsidRPr="00A77E64" w:rsidRDefault="006D3DC3" w:rsidP="000366A9">
      <w:pPr>
        <w:spacing w:after="120" w:line="276" w:lineRule="auto"/>
        <w:rPr>
          <w:rFonts w:ascii="GHEA Grapalat" w:eastAsiaTheme="majorEastAsia" w:hAnsi="GHEA Grapalat" w:cs="Sylfaen"/>
          <w:b/>
          <w:bCs/>
          <w:color w:val="000000" w:themeColor="text1"/>
          <w:sz w:val="20"/>
          <w:szCs w:val="20"/>
          <w:lang w:val="hy-AM"/>
        </w:rPr>
      </w:pPr>
    </w:p>
    <w:p w14:paraId="4D331DB5" w14:textId="5CEE2691" w:rsidR="000366A9" w:rsidRPr="00A77E64" w:rsidRDefault="000366A9" w:rsidP="000366A9">
      <w:pPr>
        <w:pStyle w:val="Heading1"/>
        <w:spacing w:after="120" w:line="276" w:lineRule="auto"/>
        <w:jc w:val="both"/>
        <w:rPr>
          <w:rFonts w:ascii="GHEA Grapalat" w:hAnsi="GHEA Grapalat"/>
          <w:b/>
          <w:color w:val="7030A0"/>
          <w:sz w:val="20"/>
          <w:szCs w:val="20"/>
          <w:lang w:val="hy-AM"/>
        </w:rPr>
      </w:pPr>
      <w:bookmarkStart w:id="0" w:name="_Toc96025846"/>
      <w:r w:rsidRPr="00A77E64">
        <w:rPr>
          <w:rFonts w:ascii="GHEA Grapalat" w:hAnsi="GHEA Grapalat"/>
          <w:b/>
          <w:color w:val="7030A0"/>
          <w:sz w:val="20"/>
          <w:szCs w:val="20"/>
          <w:lang w:val="hy-AM"/>
        </w:rPr>
        <w:t>ԳԼՈՒԽ III. ՀԱՎԱՍԱՐԱԿՇՌՎԱԾ ՄԵԽԱՆԻԶՄՆԵՐ ՀՈՂԻ ՁԵՌՔԲԵՐՄԱՆ ԵՎ ՀԱՆՐԱՅԻՆ ՇԱՀԻ ՀԱՄԱՐ</w:t>
      </w:r>
      <w:bookmarkEnd w:id="0"/>
    </w:p>
    <w:p w14:paraId="374A7027" w14:textId="3DBD5C17" w:rsidR="006D3DC3" w:rsidRPr="00A77E64" w:rsidRDefault="006D3DC3" w:rsidP="006D3DC3">
      <w:pPr>
        <w:rPr>
          <w:rFonts w:ascii="GHEA Grapalat" w:hAnsi="GHEA Grapalat"/>
          <w:lang w:val="hy-AM"/>
        </w:rPr>
      </w:pPr>
    </w:p>
    <w:p w14:paraId="2482A29E" w14:textId="77777777" w:rsidR="006D3DC3" w:rsidRPr="00A77E64" w:rsidRDefault="006D3DC3" w:rsidP="006D3DC3">
      <w:pPr>
        <w:rPr>
          <w:rFonts w:ascii="GHEA Grapalat" w:hAnsi="GHEA Grapalat"/>
          <w:lang w:val="hy-AM"/>
        </w:rPr>
      </w:pPr>
    </w:p>
    <w:p w14:paraId="023C6363" w14:textId="7A6C94F9" w:rsidR="008D4DD9" w:rsidRPr="00A77E64" w:rsidRDefault="000366A9" w:rsidP="000366A9">
      <w:pPr>
        <w:pStyle w:val="ListParagraph"/>
        <w:numPr>
          <w:ilvl w:val="1"/>
          <w:numId w:val="23"/>
        </w:numPr>
        <w:shd w:val="clear" w:color="auto" w:fill="DEC8EE"/>
        <w:spacing w:after="120" w:line="276" w:lineRule="auto"/>
        <w:ind w:right="59"/>
        <w:contextualSpacing w:val="0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A77E64">
        <w:rPr>
          <w:rFonts w:ascii="GHEA Grapalat" w:hAnsi="GHEA Grapalat" w:cs="Sylfaen"/>
          <w:b/>
          <w:i/>
          <w:sz w:val="20"/>
          <w:szCs w:val="20"/>
          <w:lang w:val="hy-AM"/>
        </w:rPr>
        <w:t>Նախկինում իրականացված ուսումնասիրությունների վերլուծություն՝ հողի ձեռքբերման, օտարման, հողօգտագործման սահմանափակման, վերաբնակեցման խնդիրների, հանրային կամ տնտեսական շահերի վերաբերյալ, որքանով դրանք առնչվում են հանքարդյունաբերության ոլորտին,</w:t>
      </w:r>
      <w:r w:rsidR="00146D8E" w:rsidRPr="00A77E64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b/>
          <w:i/>
          <w:sz w:val="20"/>
          <w:szCs w:val="20"/>
          <w:lang w:val="hy-AM"/>
        </w:rPr>
        <w:t>ինչպես նաև ընդերքօգտագործման իրավունքի տրամադրման հետ կապված հողային հարաբերությունների կարգավորման սինխրոնիզացման և պարզեցման դիտարկում, փոխհատուցման կարգավորումների հետ կապված դիտարկում ՀՀ օրենսդրությամբ, ինչպես նաև կոնկրետ խնդիրների շուրջ լրացուցիչ վերլուծություններ:</w:t>
      </w:r>
      <w:r w:rsidRPr="00A77E64" w:rsidDel="0031341D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b/>
          <w:i/>
          <w:sz w:val="20"/>
          <w:szCs w:val="20"/>
          <w:lang w:val="hy-AM"/>
        </w:rPr>
        <w:t>(Խորհրդատուն պետք է ուղղորդվի նաև Համաշխարհային բանկի ԲՍՍ 5-ով՝ «Հողի ձեռքբերում, հողօգտագործման սահմանափակումներ և ոչ կամավոր/հարկադիր վերաբնակեցում»)</w:t>
      </w:r>
    </w:p>
    <w:p w14:paraId="3C29556B" w14:textId="7B136AB5" w:rsidR="008D4DD9" w:rsidRPr="00A77E64" w:rsidRDefault="009743CE" w:rsidP="000366A9">
      <w:pPr>
        <w:pStyle w:val="Heading3"/>
        <w:numPr>
          <w:ilvl w:val="2"/>
          <w:numId w:val="23"/>
        </w:numPr>
        <w:spacing w:after="120" w:line="276" w:lineRule="auto"/>
        <w:jc w:val="both"/>
        <w:rPr>
          <w:rFonts w:ascii="GHEA Grapalat" w:hAnsi="GHEA Grapalat"/>
          <w:b/>
          <w:bCs/>
          <w:color w:val="7030A0"/>
          <w:sz w:val="20"/>
          <w:szCs w:val="20"/>
          <w:lang w:val="hy-AM"/>
        </w:rPr>
      </w:pPr>
      <w:bookmarkStart w:id="1" w:name="_Toc91590463"/>
      <w:bookmarkStart w:id="2" w:name="_Toc96025847"/>
      <w:r w:rsidRPr="00A77E64">
        <w:rPr>
          <w:rFonts w:ascii="GHEA Grapalat" w:hAnsi="GHEA Grapalat"/>
          <w:b/>
          <w:bCs/>
          <w:color w:val="7030A0"/>
          <w:sz w:val="20"/>
          <w:szCs w:val="20"/>
          <w:lang w:val="hy-AM"/>
        </w:rPr>
        <w:t>ԱՌԿԱ ԻՐԱՎԻՃԱԿԻ ՎԵՐԼՈՒԾՈՒԹՅՈՒՆ ԵՎ ԽՆԴՐԻ ԼՈՒԾՄԱՆ ԿԱՐԵՎՈՐՈՒԹՅՈՒՆԸ</w:t>
      </w:r>
      <w:bookmarkEnd w:id="1"/>
      <w:bookmarkEnd w:id="2"/>
    </w:p>
    <w:p w14:paraId="3EB61638" w14:textId="5EDAE27E" w:rsidR="0018569E" w:rsidRPr="00A77E64" w:rsidRDefault="0083386C" w:rsidP="000366A9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Ընդերքօգտագործման</w:t>
      </w:r>
      <w:r w:rsidR="00905ADA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ոլորտում հաճախ առաջանում </w:t>
      </w:r>
      <w:r w:rsidR="00CD6630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են </w:t>
      </w:r>
      <w:r w:rsidR="00905ADA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գործնական խնդիրներ, որոնց մեկնակետը ընդերքօգտագործման իրավունքի և դրան հարակից իրավունքների տրամադրման </w:t>
      </w:r>
      <w:r w:rsidR="001C4114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փուլն</w:t>
      </w:r>
      <w:r w:rsidR="00905ADA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է</w:t>
      </w:r>
      <w:r w:rsidR="0018569E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։</w:t>
      </w:r>
    </w:p>
    <w:p w14:paraId="72138503" w14:textId="009BA664" w:rsidR="0018569E" w:rsidRPr="00A77E64" w:rsidRDefault="0018569E" w:rsidP="000366A9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Հայաuտանի Հանրապետությ</w:t>
      </w:r>
      <w:r w:rsidR="0057372D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ու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ն</w:t>
      </w:r>
      <w:r w:rsidR="0057372D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ում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ընդերքը պետության բացառիկ uեփականությունն է: Այն կարող է տրամադրվել օգտագործման միայն երկրաբանական ուսումնասիրությունների </w:t>
      </w:r>
      <w:r w:rsidR="00905ADA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և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oգտակար հանածոների արդյունահանման նպատակներով։ </w:t>
      </w:r>
    </w:p>
    <w:p w14:paraId="3F226731" w14:textId="18469C62" w:rsidR="00A2416F" w:rsidRPr="00A77E64" w:rsidRDefault="00A2416F" w:rsidP="000366A9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ՀՀ-ում ընդերքօգտագործման </w:t>
      </w:r>
      <w:r w:rsidR="000366A9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ոլորտի կայունությունը ուղղակիորեն պայմանավորված է </w:t>
      </w:r>
      <w:r w:rsidR="00EF1CEF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ոլո</w:t>
      </w:r>
      <w:r w:rsidR="000366A9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րտը </w:t>
      </w:r>
      <w:r w:rsidR="00D02F70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կարգավորող 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իրավական </w:t>
      </w:r>
      <w:r w:rsidR="000366A9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համակարգի </w:t>
      </w:r>
      <w:r w:rsidR="00EF1CEF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կայացվածության</w:t>
      </w:r>
      <w:r w:rsidR="000366A9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="00EF1CEF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մակարդակ</w:t>
      </w:r>
      <w:r w:rsidR="00836743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ով</w:t>
      </w:r>
      <w:r w:rsidR="00D448C4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՝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գրավիչ ներդրումային միջավայր</w:t>
      </w:r>
      <w:r w:rsidR="00D448C4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ձևավորելու նպատակով</w:t>
      </w:r>
      <w:r w:rsidR="000366A9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: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="000366A9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ինչդեռ </w:t>
      </w:r>
      <w:r w:rsidR="000366A9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ներկայում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ոլորտային օրենսդրությունը </w:t>
      </w:r>
      <w:r w:rsidR="000366A9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ունի էական բարեփոխումների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կարիք, և ներքոնշյալ խնդիրների շրջանակը մեկ անգամ չէ, որ բարձրաձայնվել </w:t>
      </w:r>
      <w:r w:rsidR="00D02F70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է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շահառու </w:t>
      </w:r>
      <w:r w:rsid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կազմակերպությունների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կողմից։ </w:t>
      </w:r>
    </w:p>
    <w:p w14:paraId="327F92B0" w14:textId="5975AB09" w:rsidR="009743CE" w:rsidRPr="00A77E64" w:rsidRDefault="00905ADA" w:rsidP="00B4018A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lastRenderedPageBreak/>
        <w:t xml:space="preserve">ՀՀ-ում ընդերքօգտագործման ոլորտի իրավական կարգավորման դաշտում առկա խնդիրների մի զգալի հատված </w:t>
      </w:r>
      <w:r w:rsidR="00A2416F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նաև 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կապված է ընդերքօգտագործման ոլորտում հողային հարաբերությունների հետ </w:t>
      </w:r>
      <w:r w:rsidR="00836743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(հողահատկացում, հողերի նպատակային նշանակության փոփոխություն </w:t>
      </w:r>
      <w:r w:rsidR="00A2416F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և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այլն</w:t>
      </w:r>
      <w:r w:rsidR="00560AD1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)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։ Այդ խնդիրների սկզբնաղբյուրներն այս հարաբերությունների </w:t>
      </w:r>
      <w:r w:rsidR="00836743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օրենսդրական 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թերի կարգավորումներն են:</w:t>
      </w:r>
      <w:r w:rsidR="00A2416F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Սույն բաժնի շրջանակներում վերլուծության առարկա են ընդերքօգտագործման թույլտվության տրամադրման իրավական կառուցակարգերի թերի կողմերը՝ այս ոլորտում հողօգտագործման իրավունքի տրամադրման որոշ խնդիրների շրջանակում։</w:t>
      </w:r>
    </w:p>
    <w:p w14:paraId="4247B32A" w14:textId="23DB8334" w:rsidR="00B4018A" w:rsidRPr="00A77E64" w:rsidRDefault="00B4018A" w:rsidP="00B4018A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Սույն հիմնախնդրի վերլուծության համար </w:t>
      </w:r>
      <w:r w:rsidR="00836743"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ուսումնասիրվել</w:t>
      </w:r>
      <w:r w:rsidR="00836743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="00836743"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են</w:t>
      </w:r>
      <w:r w:rsidR="00836743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 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ՏԿԵ նախարարության կողմից աշխատանքային կարգով տրամադրված փաստաթղթերը, որտեղ ներկայացված են </w:t>
      </w:r>
      <w:r w:rsidR="0057372D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ՀՀ վարչապետի 2020թ. փետրվարի 10-ի №166-Ա որոշմամբ ընդերքօգտագործման համար անհրաժեշտ հող</w:t>
      </w:r>
      <w:r w:rsidR="00560AD1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ա</w:t>
      </w:r>
      <w:r w:rsidR="0057372D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հատկացման խնդրի իրավակարգավորման նպատակով ստեղծվ</w:t>
      </w:r>
      <w:r w:rsidR="00321AD1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ած</w:t>
      </w:r>
      <w:r w:rsidR="0057372D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միջգերատեսչական աշխատանքային խմբի նիստի արդյունքում վեր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հանված </w:t>
      </w:r>
      <w:r w:rsidR="0057372D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մի շարք հարցեր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մասնավորապես՝ </w:t>
      </w:r>
    </w:p>
    <w:p w14:paraId="4129C74A" w14:textId="28A79FCA" w:rsidR="00321AD1" w:rsidRPr="00A77E64" w:rsidRDefault="00B4018A" w:rsidP="00B4018A">
      <w:pPr>
        <w:pStyle w:val="ListParagraph"/>
        <w:numPr>
          <w:ilvl w:val="0"/>
          <w:numId w:val="15"/>
        </w:numPr>
        <w:spacing w:after="120" w:line="276" w:lineRule="auto"/>
        <w:contextualSpacing w:val="0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Ը</w:t>
      </w:r>
      <w:r w:rsidR="00321AD1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նդերքօգտագործման թույլտվության հետ մեկտեղ հարակից ոլորտների իրավունքների տրամադրման ընթացքում գործնական խնդիրների առաջացում, </w:t>
      </w:r>
    </w:p>
    <w:p w14:paraId="5B43EDDB" w14:textId="431F8039" w:rsidR="00321AD1" w:rsidRPr="00A77E64" w:rsidRDefault="00321AD1" w:rsidP="000366A9">
      <w:pPr>
        <w:pStyle w:val="ListParagraph"/>
        <w:numPr>
          <w:ilvl w:val="0"/>
          <w:numId w:val="15"/>
        </w:numPr>
        <w:spacing w:after="120" w:line="276" w:lineRule="auto"/>
        <w:contextualSpacing w:val="0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Հողամասերի նպատակային նշանակության փոփոխության ընթացքում առաջացող խնդիրներ,</w:t>
      </w:r>
    </w:p>
    <w:p w14:paraId="2A86E572" w14:textId="0ED9F279" w:rsidR="00321AD1" w:rsidRPr="00A77E64" w:rsidRDefault="00321AD1" w:rsidP="000366A9">
      <w:pPr>
        <w:pStyle w:val="ListParagraph"/>
        <w:numPr>
          <w:ilvl w:val="0"/>
          <w:numId w:val="15"/>
        </w:numPr>
        <w:spacing w:after="120" w:line="276" w:lineRule="auto"/>
        <w:contextualSpacing w:val="0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Գերակա հանրային շահի հիմքով մասնավոր սեփականության պետականացում և համապատասխան փոխհատուցման տրամադրում։</w:t>
      </w:r>
    </w:p>
    <w:p w14:paraId="5A37C62D" w14:textId="073A3EA2" w:rsidR="00321AD1" w:rsidRPr="00A77E64" w:rsidRDefault="005C3969" w:rsidP="005C3969">
      <w:pPr>
        <w:spacing w:after="120" w:line="276" w:lineRule="auto"/>
        <w:ind w:left="720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Համաձայն ՏԿԵ նախարարության</w:t>
      </w:r>
      <w:r w:rsidR="00416F99"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 xml:space="preserve"> կողմից աշխատանքային կարգով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 xml:space="preserve"> տրամադրած փաստաթղթերի՝ վ</w:t>
      </w:r>
      <w:r w:rsidR="00321AD1"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 xml:space="preserve">երոնշյալ </w:t>
      </w:r>
      <w:r w:rsidR="00321AD1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աշխատանքային քննարկումների շրջանակում վեր են բարձրացվել ներքոնշյալ օրենսդրական խնդիրների/բացերի կարգավորման անհրաժեշտությունը.</w:t>
      </w:r>
    </w:p>
    <w:p w14:paraId="20E4AE05" w14:textId="7FF4C816" w:rsidR="00321AD1" w:rsidRPr="00A77E64" w:rsidRDefault="00321AD1" w:rsidP="000366A9">
      <w:pPr>
        <w:pStyle w:val="ListParagraph"/>
        <w:numPr>
          <w:ilvl w:val="0"/>
          <w:numId w:val="16"/>
        </w:numPr>
        <w:spacing w:after="120" w:line="276" w:lineRule="auto"/>
        <w:contextualSpacing w:val="0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Օգտակար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հանածոյի արդյունահանման նպատակով ընդերքօգտագործման իրավունք ձեռք բերելու դիմումին կից տվյալ տեղամասի հողամասի նկարագրության (հողի սեփականատեր, նպատակային նշանակություն և այլն) ներկայացում, </w:t>
      </w:r>
    </w:p>
    <w:p w14:paraId="08A4B73D" w14:textId="77777777" w:rsidR="00321AD1" w:rsidRPr="00A77E64" w:rsidRDefault="00321AD1" w:rsidP="000366A9">
      <w:pPr>
        <w:pStyle w:val="ListParagraph"/>
        <w:numPr>
          <w:ilvl w:val="0"/>
          <w:numId w:val="16"/>
        </w:numPr>
        <w:spacing w:after="120" w:line="276" w:lineRule="auto"/>
        <w:contextualSpacing w:val="0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Օգտակար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հանածոյի արդյունահանման նպատակով ընդերքօգտագործման համար անհրաժեշտ հողհատկացման գործընթացի երկարաձգման կամ բարդացման դեպքում ընդերքօգտագործման իրավունքից չզրկվելու հնարավորություն՝ հստակ ժամկետի սահմանմամբ,</w:t>
      </w:r>
    </w:p>
    <w:p w14:paraId="726C19E7" w14:textId="77777777" w:rsidR="00321AD1" w:rsidRPr="00A77E64" w:rsidRDefault="00321AD1" w:rsidP="000366A9">
      <w:pPr>
        <w:pStyle w:val="ListParagraph"/>
        <w:numPr>
          <w:ilvl w:val="0"/>
          <w:numId w:val="16"/>
        </w:numPr>
        <w:spacing w:after="120" w:line="276" w:lineRule="auto"/>
        <w:contextualSpacing w:val="0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Պետական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, համայնքային և մասնավոր սեփականության հողամասերի դեպքերում ընդերքօգտագործողին հողամասերի տրամադրման պարզեցված  ընթացակարգը,</w:t>
      </w:r>
    </w:p>
    <w:p w14:paraId="14BD5F67" w14:textId="77777777" w:rsidR="00321AD1" w:rsidRPr="00A77E64" w:rsidRDefault="00321AD1" w:rsidP="000366A9">
      <w:pPr>
        <w:pStyle w:val="ListParagraph"/>
        <w:numPr>
          <w:ilvl w:val="0"/>
          <w:numId w:val="16"/>
        </w:numPr>
        <w:spacing w:after="120" w:line="276" w:lineRule="auto"/>
        <w:contextualSpacing w:val="0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Մինչև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օգտակար հանածոյի արդյունահանման իրավունքի տրամադրումը հողամասի նպատակային նշանակության (կատեգորիայի) փոփոխություն փուլի հստակեցում, իսկ իրավունքի տրամադրման հետ միաժամանակ հողամասի օգտագործման իրավունքի տրամադրում,</w:t>
      </w:r>
    </w:p>
    <w:p w14:paraId="75EDF7AE" w14:textId="50057201" w:rsidR="00321AD1" w:rsidRPr="00A77E64" w:rsidRDefault="00321AD1" w:rsidP="000366A9">
      <w:pPr>
        <w:pStyle w:val="ListParagraph"/>
        <w:numPr>
          <w:ilvl w:val="0"/>
          <w:numId w:val="16"/>
        </w:numPr>
        <w:spacing w:after="120" w:line="276" w:lineRule="auto"/>
        <w:contextualSpacing w:val="0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Նախնական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համաձայնություն (օրինակ՝ նախնական համաձայնագրի կնքում) կամ առկայության դեպքում ներկայացման նպատա</w:t>
      </w:r>
      <w:r w:rsidR="00146D8E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կա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հարմարությունը,</w:t>
      </w:r>
    </w:p>
    <w:p w14:paraId="6AE24E2F" w14:textId="0F3C567E" w:rsidR="00321AD1" w:rsidRPr="00A77E64" w:rsidRDefault="00321AD1" w:rsidP="000366A9">
      <w:pPr>
        <w:pStyle w:val="ListParagraph"/>
        <w:numPr>
          <w:ilvl w:val="0"/>
          <w:numId w:val="16"/>
        </w:numPr>
        <w:spacing w:after="120" w:line="276" w:lineRule="auto"/>
        <w:contextualSpacing w:val="0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ՏԻՄ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-երի</w:t>
      </w:r>
      <w:r w:rsidR="00836743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ն սեփականության իրավունքով պատկանող 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հողամասերի տրամադրման հետ կապված չարաշահումները զսպող օրենսդրական դրույթների և մեխանիզմների սահմանում՝ կանխելու, սահմանափակելու նման դեպքերը,</w:t>
      </w:r>
    </w:p>
    <w:p w14:paraId="4C0E9071" w14:textId="77777777" w:rsidR="00321AD1" w:rsidRPr="00A77E64" w:rsidRDefault="00321AD1" w:rsidP="000366A9">
      <w:pPr>
        <w:pStyle w:val="ListParagraph"/>
        <w:numPr>
          <w:ilvl w:val="0"/>
          <w:numId w:val="16"/>
        </w:numPr>
        <w:spacing w:after="120" w:line="276" w:lineRule="auto"/>
        <w:contextualSpacing w:val="0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Գերակա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հանրային շահի օգտագործման նպատակային ուսումնասիրություն,</w:t>
      </w:r>
    </w:p>
    <w:p w14:paraId="709B86BA" w14:textId="77777777" w:rsidR="00321AD1" w:rsidRPr="00A77E64" w:rsidRDefault="00321AD1" w:rsidP="000366A9">
      <w:pPr>
        <w:pStyle w:val="ListParagraph"/>
        <w:numPr>
          <w:ilvl w:val="0"/>
          <w:numId w:val="16"/>
        </w:numPr>
        <w:spacing w:after="120" w:line="276" w:lineRule="auto"/>
        <w:contextualSpacing w:val="0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lastRenderedPageBreak/>
        <w:t>«Շրջակա միջավայրի վրա ազդեցության գնահատման և փորձաքննության մասին» ՀՀ օրենքով նախատեսված հանրային լսումներին հողերի սեփականատերերի մասնակցության մասին պարտադիր ծանուցում,</w:t>
      </w:r>
    </w:p>
    <w:p w14:paraId="6F732A1A" w14:textId="0C221B5F" w:rsidR="00321AD1" w:rsidRPr="00A77E64" w:rsidRDefault="00321AD1" w:rsidP="000366A9">
      <w:pPr>
        <w:pStyle w:val="ListParagraph"/>
        <w:numPr>
          <w:ilvl w:val="0"/>
          <w:numId w:val="16"/>
        </w:numPr>
        <w:spacing w:after="120" w:line="276" w:lineRule="auto"/>
        <w:contextualSpacing w:val="0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Հողի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սեփականատիրոջը փոխհատուցման պայմաններ</w:t>
      </w:r>
      <w:r w:rsidR="00836743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՝ ելնելով հանքավայրերի չափերից և հանքատեսակից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,</w:t>
      </w:r>
    </w:p>
    <w:p w14:paraId="4DB85C5B" w14:textId="1380B2A1" w:rsidR="0057372D" w:rsidRPr="00A77E64" w:rsidRDefault="00321AD1" w:rsidP="008C1BE8">
      <w:pPr>
        <w:pStyle w:val="ListParagraph"/>
        <w:numPr>
          <w:ilvl w:val="0"/>
          <w:numId w:val="16"/>
        </w:numPr>
        <w:spacing w:after="120" w:line="276" w:lineRule="auto"/>
        <w:contextualSpacing w:val="0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Պետական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ընդերքաբանական փորձաքննության արդյունքում նոր հանքավայրերի պաշարների հաստատումից հետո տվյալ տեղամասի հողամասերի նպատակային նշանակության փոփոխության նպատակահարմարությունը:  </w:t>
      </w:r>
    </w:p>
    <w:p w14:paraId="32780B37" w14:textId="03538305" w:rsidR="0057372D" w:rsidRPr="00A77E64" w:rsidRDefault="008C1BE8" w:rsidP="008F5A0D">
      <w:pPr>
        <w:pStyle w:val="Heading3"/>
        <w:numPr>
          <w:ilvl w:val="2"/>
          <w:numId w:val="23"/>
        </w:numPr>
        <w:spacing w:after="120" w:line="276" w:lineRule="auto"/>
        <w:jc w:val="both"/>
        <w:rPr>
          <w:rFonts w:ascii="GHEA Grapalat" w:hAnsi="GHEA Grapalat"/>
          <w:b/>
          <w:bCs/>
          <w:color w:val="7030A0"/>
          <w:sz w:val="20"/>
          <w:szCs w:val="20"/>
          <w:lang w:val="hy-AM"/>
        </w:rPr>
      </w:pPr>
      <w:bookmarkStart w:id="3" w:name="_Toc96025848"/>
      <w:r w:rsidRPr="00A77E64">
        <w:rPr>
          <w:rFonts w:ascii="GHEA Grapalat" w:hAnsi="GHEA Grapalat" w:cs="Sylfaen"/>
          <w:b/>
          <w:bCs/>
          <w:color w:val="7030A0"/>
          <w:sz w:val="20"/>
          <w:szCs w:val="20"/>
          <w:lang w:val="hy-AM"/>
        </w:rPr>
        <w:t>Գ</w:t>
      </w:r>
      <w:r w:rsidRPr="00A77E64">
        <w:rPr>
          <w:rFonts w:ascii="GHEA Grapalat" w:hAnsi="GHEA Grapalat"/>
          <w:b/>
          <w:bCs/>
          <w:color w:val="7030A0"/>
          <w:sz w:val="20"/>
          <w:szCs w:val="20"/>
          <w:lang w:val="hy-AM"/>
        </w:rPr>
        <w:t>ՐԱԿԱՆՈՒԹՅԱՆ ՎԵՐԼՈՒԾՈՒԹՅՈՒՆ</w:t>
      </w:r>
      <w:bookmarkEnd w:id="3"/>
      <w:r w:rsidRPr="00A77E64">
        <w:rPr>
          <w:rFonts w:ascii="GHEA Grapalat" w:hAnsi="GHEA Grapalat"/>
          <w:b/>
          <w:bCs/>
          <w:color w:val="7030A0"/>
          <w:sz w:val="20"/>
          <w:szCs w:val="20"/>
          <w:lang w:val="hy-AM"/>
        </w:rPr>
        <w:t xml:space="preserve"> </w:t>
      </w:r>
    </w:p>
    <w:p w14:paraId="3D7F6CBD" w14:textId="549F3389" w:rsidR="00321AD1" w:rsidRPr="00A77E64" w:rsidRDefault="00321AD1" w:rsidP="0083386C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Սույն ոլորտում </w:t>
      </w:r>
      <w:r w:rsidR="0083386C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գրականության վերլուծությունը, ի տարբերություն տարբեր պետությունների կողմից իմպլեմենտացված միջազգային լավագույն փորձի, որը ներկայացվել է հաջորդիվ, հիմնականում հանգում են 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միջազգային </w:t>
      </w:r>
      <w:r w:rsidR="0083386C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ստանդարտների սահմանմանը՝ ուղղված հողամասի սեփականատերերի իրավունքների պաշտպանությանը, ինչպես նաև վերջիններիս արդար փոխհատուցման իրավունքի ապահովմանը և այնպիսի կառուցակարգերի մշակմանը պետության կողմից, որոնք կհեշտացնեն ընկերությունների համալիր իրավունքների ստացման գործընթացը, որը յուրաքանչյուր դեպքում պետք է համապատասխանի սահմանված միջացգային չափանիշներին և չստեղծի իրավիճակ, երբ ընդերքօգտագործողների իրավունքները կգերակայեն հողամասերի սեփականատերերի իրավունքներին։</w:t>
      </w:r>
    </w:p>
    <w:p w14:paraId="0F0F2A39" w14:textId="492A4CC1" w:rsidR="0083386C" w:rsidRPr="00A77E64" w:rsidRDefault="0083386C" w:rsidP="0083386C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ՀՀ-ում առկա իրավիճակը և հիմնական հիմնախնդիրները կարծես թե հակառակ բևեռն ունեն, եթե միջազգային փորձի ուսումնասիրությունը թույլ է տալիս փաստել, որ հաճախ հողօգտագործման իրավունքի տրամադրման</w:t>
      </w:r>
      <w:r w:rsid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="00A77E64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ընթացակարգերը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շատ պարզեցված են, ապա ՀՀ-ում հողօգտագործման խնդիրը այնքան բարդ կառուցակարգ ունի, որ հաճախ և առավելապես խախտվում են ոչ թե հողասեփականատերերի, այլ ընդերքօգտագործողների իրավունքները։ Վերոնշյալը առավել մանրամասն վերլուծության է ենթարկվել հաջորդիվ</w:t>
      </w:r>
      <w:r w:rsidR="0016431F" w:rsidRPr="0016431F">
        <w:rPr>
          <w:rFonts w:ascii="GHEA Grapalat" w:hAnsi="GHEA Grapalat"/>
          <w:color w:val="000000" w:themeColor="text1"/>
          <w:sz w:val="20"/>
          <w:szCs w:val="20"/>
          <w:lang w:val="hy-AM"/>
        </w:rPr>
        <w:t>.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գրականության վերլուծության մասում հիմնականում ներկայացվում են այն չափանիշները, որոնք յուրաքանչյուր դեպքում պետք է պահվեն, որպեսզի ապահովվեն հողասեփականատերերի իրավունքները, ինչը կարևոր նախահիմք է հանդիսանում ներկայացված առաջարկությունների համատեքստում, որոնց օրենսդրական ամրագրման գլխավոր նախապայմանը ընտրվելիք գործիքակազմի համապատասխանությունն է ներքոնշյալ մինիմալ ստանդարտներին։</w:t>
      </w:r>
    </w:p>
    <w:p w14:paraId="6054B375" w14:textId="40358AF4" w:rsidR="00751DE6" w:rsidRPr="00A77E64" w:rsidRDefault="00C710EB" w:rsidP="00C710EB">
      <w:pPr>
        <w:spacing w:after="120" w:line="276" w:lineRule="auto"/>
        <w:jc w:val="both"/>
        <w:rPr>
          <w:rFonts w:ascii="GHEA Grapalat" w:hAnsi="GHEA Grapalat"/>
          <w:b/>
          <w:bCs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b/>
          <w:bCs/>
          <w:color w:val="000000" w:themeColor="text1"/>
          <w:sz w:val="20"/>
          <w:szCs w:val="20"/>
          <w:lang w:val="hy-AM"/>
        </w:rPr>
        <w:t>ՄՖԿ-ի Կատարողական Չափանիշ 5 (ԿՉ5)  և ՎԶԵԲ-ի Կատարողական Պահանջ (</w:t>
      </w:r>
      <w:r w:rsidR="00751DE6" w:rsidRPr="00A77E64">
        <w:rPr>
          <w:rFonts w:ascii="GHEA Grapalat" w:hAnsi="GHEA Grapalat"/>
          <w:b/>
          <w:bCs/>
          <w:color w:val="000000" w:themeColor="text1"/>
          <w:sz w:val="20"/>
          <w:szCs w:val="20"/>
          <w:lang w:val="hy-AM"/>
        </w:rPr>
        <w:t>ԿՊ5</w:t>
      </w:r>
      <w:r w:rsidRPr="00A77E64">
        <w:rPr>
          <w:rFonts w:ascii="GHEA Grapalat" w:hAnsi="GHEA Grapalat"/>
          <w:b/>
          <w:bCs/>
          <w:color w:val="000000" w:themeColor="text1"/>
          <w:sz w:val="20"/>
          <w:szCs w:val="20"/>
          <w:lang w:val="hy-AM"/>
        </w:rPr>
        <w:t>)</w:t>
      </w:r>
      <w:r w:rsidR="00751DE6" w:rsidRPr="00A77E64">
        <w:rPr>
          <w:rFonts w:ascii="GHEA Grapalat" w:hAnsi="GHEA Grapalat"/>
          <w:b/>
          <w:bCs/>
          <w:color w:val="000000" w:themeColor="text1"/>
          <w:sz w:val="20"/>
          <w:szCs w:val="20"/>
          <w:lang w:val="hy-AM"/>
        </w:rPr>
        <w:t>. Հիմնական նպատակները</w:t>
      </w:r>
      <w:r w:rsidR="00EA08FA" w:rsidRPr="00A77E64">
        <w:rPr>
          <w:rStyle w:val="FootnoteReference"/>
          <w:rFonts w:ascii="GHEA Grapalat" w:hAnsi="GHEA Grapalat"/>
          <w:b/>
          <w:bCs/>
          <w:color w:val="000000" w:themeColor="text1"/>
          <w:sz w:val="20"/>
          <w:szCs w:val="20"/>
          <w:lang w:val="hy-AM"/>
        </w:rPr>
        <w:footnoteReference w:id="1"/>
      </w:r>
      <w:r w:rsidR="00751DE6" w:rsidRPr="00A77E64">
        <w:rPr>
          <w:rFonts w:ascii="GHEA Grapalat" w:hAnsi="GHEA Grapalat"/>
          <w:b/>
          <w:bCs/>
          <w:color w:val="000000" w:themeColor="text1"/>
          <w:sz w:val="20"/>
          <w:szCs w:val="20"/>
          <w:lang w:val="hy-AM"/>
        </w:rPr>
        <w:t>.</w:t>
      </w:r>
    </w:p>
    <w:p w14:paraId="4752B384" w14:textId="1182E4CE" w:rsidR="00751DE6" w:rsidRPr="00A77E64" w:rsidRDefault="00321AD1" w:rsidP="000366A9">
      <w:pPr>
        <w:pStyle w:val="ListParagraph"/>
        <w:numPr>
          <w:ilvl w:val="0"/>
          <w:numId w:val="18"/>
        </w:numPr>
        <w:spacing w:after="120" w:line="276" w:lineRule="auto"/>
        <w:contextualSpacing w:val="0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Խուսափել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կա</w:t>
      </w:r>
      <w:r w:rsidR="00560AD1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մ 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առնվազն նվազեցնել հարկադրված վերաբնակեցումը` հնարավորության դեպքում ընտրելով ծրագրի նախագծման այլընտրանքային տարբերակներ,</w:t>
      </w:r>
    </w:p>
    <w:p w14:paraId="01D3F5DA" w14:textId="4D237253" w:rsidR="00751DE6" w:rsidRPr="00A77E64" w:rsidRDefault="00321AD1" w:rsidP="000366A9">
      <w:pPr>
        <w:pStyle w:val="ListParagraph"/>
        <w:numPr>
          <w:ilvl w:val="0"/>
          <w:numId w:val="18"/>
        </w:numPr>
        <w:spacing w:after="120" w:line="276" w:lineRule="auto"/>
        <w:contextualSpacing w:val="0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Մեղմացնել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բացասական սոցիալական </w:t>
      </w:r>
      <w:r w:rsidR="00751DE6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և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տնտեսական ազդեցությունները, որոնք պայմանավորված են հողի ձեռքբերման գործընթացով կամ ազդակիր անձանց կողմից հողի օգտագործման ու հասանելիության սահմանափակմամբ` (i) առաջարկելով կորցված ակտիվների դիմաց փոխհատուցումը վերականգնման արժեքով, </w:t>
      </w:r>
      <w:r w:rsidR="00FF6BEE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և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(ii) իրակացնելով վերաբնակեցման գործողությունները պատշաճ իրազեկման, խորհրդատվության </w:t>
      </w:r>
      <w:r w:rsidR="00FF6BEE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և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ազդակիր կողմերի տեղեկացված ներգրավման եղանակով,</w:t>
      </w:r>
    </w:p>
    <w:p w14:paraId="2D7ED852" w14:textId="3603ADEE" w:rsidR="00751DE6" w:rsidRPr="00A77E64" w:rsidRDefault="00321AD1" w:rsidP="000366A9">
      <w:pPr>
        <w:pStyle w:val="ListParagraph"/>
        <w:numPr>
          <w:ilvl w:val="0"/>
          <w:numId w:val="18"/>
        </w:numPr>
        <w:spacing w:after="120" w:line="276" w:lineRule="auto"/>
        <w:contextualSpacing w:val="0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Բարելավել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կամ առնվազն վերականգնել վերաբնակեցված անձանց կենսամիջոցները </w:t>
      </w:r>
      <w:r w:rsidR="00FF6BEE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և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կենսամակարդակը մինչ</w:t>
      </w:r>
      <w:r w:rsidR="00FF6BEE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և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նախածրագրային մակարդակը հողային, աշխատավարձային</w:t>
      </w:r>
      <w:r w:rsidR="00751DE6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="00FF6BEE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և</w:t>
      </w:r>
      <w:r w:rsidR="00751DE6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/կամ ձեռնարկատիրական </w:t>
      </w:r>
      <w:r w:rsidR="00751DE6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lastRenderedPageBreak/>
        <w:t>միջոցառումների միջոցով` թեթ</w:t>
      </w:r>
      <w:r w:rsidR="00FF6BEE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և</w:t>
      </w:r>
      <w:r w:rsidR="00751DE6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ացնելու համար դրանց սոցիալ-տնտեսական կարգավիճակի կայուն զարգացումը,</w:t>
      </w:r>
    </w:p>
    <w:p w14:paraId="3FE53694" w14:textId="090C96FF" w:rsidR="00751DE6" w:rsidRPr="00A77E64" w:rsidRDefault="00751DE6" w:rsidP="00C710EB">
      <w:pPr>
        <w:pStyle w:val="ListParagraph"/>
        <w:numPr>
          <w:ilvl w:val="0"/>
          <w:numId w:val="18"/>
        </w:numPr>
        <w:spacing w:after="120" w:line="276" w:lineRule="auto"/>
        <w:contextualSpacing w:val="0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Բարելավել վերաբնակեցված անձանց կենցաղային պայմանները` ապահովելով պատշաճ </w:t>
      </w:r>
      <w:r w:rsidR="00FF6BEE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և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ապահով կացարաններ վերաբնակեցման վայրերում:</w:t>
      </w:r>
    </w:p>
    <w:p w14:paraId="6A646570" w14:textId="20219D6B" w:rsidR="00751DE6" w:rsidRPr="00A77E64" w:rsidRDefault="00751DE6" w:rsidP="00C710EB">
      <w:pPr>
        <w:spacing w:after="120" w:line="276" w:lineRule="auto"/>
        <w:jc w:val="both"/>
        <w:rPr>
          <w:rFonts w:ascii="GHEA Grapalat" w:hAnsi="GHEA Grapalat"/>
          <w:b/>
          <w:bCs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b/>
          <w:bCs/>
          <w:color w:val="000000" w:themeColor="text1"/>
          <w:sz w:val="20"/>
          <w:szCs w:val="20"/>
          <w:lang w:val="hy-AM"/>
        </w:rPr>
        <w:t>Ա</w:t>
      </w:r>
      <w:r w:rsidR="003943E3" w:rsidRPr="00A77E64">
        <w:rPr>
          <w:rFonts w:ascii="GHEA Grapalat" w:hAnsi="GHEA Grapalat"/>
          <w:b/>
          <w:bCs/>
          <w:color w:val="000000" w:themeColor="text1"/>
          <w:sz w:val="20"/>
          <w:szCs w:val="20"/>
          <w:lang w:val="hy-AM"/>
        </w:rPr>
        <w:t>սիական զարգացման բանկի (ԱԶԲ)</w:t>
      </w:r>
      <w:r w:rsidRPr="00A77E64">
        <w:rPr>
          <w:rFonts w:ascii="GHEA Grapalat" w:hAnsi="GHEA Grapalat"/>
          <w:b/>
          <w:bCs/>
          <w:color w:val="000000" w:themeColor="text1"/>
          <w:sz w:val="20"/>
          <w:szCs w:val="20"/>
          <w:lang w:val="hy-AM"/>
        </w:rPr>
        <w:t xml:space="preserve"> պահանջներ</w:t>
      </w:r>
      <w:r w:rsidR="00EA08FA" w:rsidRPr="00A77E64">
        <w:rPr>
          <w:rStyle w:val="FootnoteReference"/>
          <w:rFonts w:ascii="GHEA Grapalat" w:hAnsi="GHEA Grapalat"/>
          <w:b/>
          <w:bCs/>
          <w:color w:val="000000" w:themeColor="text1"/>
          <w:sz w:val="20"/>
          <w:szCs w:val="20"/>
          <w:lang w:val="hy-AM"/>
        </w:rPr>
        <w:footnoteReference w:id="2"/>
      </w:r>
      <w:r w:rsidRPr="00A77E64">
        <w:rPr>
          <w:rFonts w:ascii="GHEA Grapalat" w:hAnsi="GHEA Grapalat"/>
          <w:b/>
          <w:bCs/>
          <w:color w:val="000000" w:themeColor="text1"/>
          <w:sz w:val="20"/>
          <w:szCs w:val="20"/>
          <w:lang w:val="hy-AM"/>
        </w:rPr>
        <w:t>.</w:t>
      </w:r>
    </w:p>
    <w:p w14:paraId="02B4AA7B" w14:textId="5B592D4B" w:rsidR="00751DE6" w:rsidRPr="00A77E64" w:rsidRDefault="00751DE6" w:rsidP="00C710EB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ԱԶԲ-ի`</w:t>
      </w:r>
      <w:r w:rsidR="00C710EB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հարկադրված վերաբնակեցման վերաբերյալ ներկայիս քաղաքականությունը մշակվել է ԱԶԲ-ի 2009թ. Պաշտպանողական քաղաքականության հռչակագրում /ՊՔՀ/ </w:t>
      </w:r>
      <w:r w:rsidR="00FF6BEE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և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մասնավորապես «Պաշտպանողական պահանջներ 2. Հարկադրված վերաբնակեցում» Հավելված 2-ում:</w:t>
      </w:r>
    </w:p>
    <w:p w14:paraId="41E3D621" w14:textId="7B406D8D" w:rsidR="00751DE6" w:rsidRPr="00A77E64" w:rsidRDefault="00751DE6" w:rsidP="00C710EB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ՊՔՀ-ի ընդհանուր նպատակն է` «հնարավորության դեպքում խուսափել հարկադրված վերաբնակեցումից, նվազեցնել հարկադրված վերաբնակեցումը ընտրելով այլընտրանքային ծրագրեր </w:t>
      </w:r>
      <w:r w:rsidR="00FF6BEE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և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նախագծեր, խթանել կամ գոնե վերականգնել բոլոր վերաբնակեցված անձանց կենսամիջոցները` հասցնելով դրանք մինչ</w:t>
      </w:r>
      <w:r w:rsidR="00FF6BEE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և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նախածրագրային մակարդակը, </w:t>
      </w:r>
      <w:r w:rsidR="00FF6BEE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և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բարելավել վերաբնակեցված աղքատ </w:t>
      </w:r>
      <w:r w:rsidR="00FF6BEE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և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այլ խոցելի խմբերի անձանց կենսամակարդակը»: Այն ներառում է ֆիզիկական (տեղափոխում, բնակելի հողատարածքի, </w:t>
      </w:r>
      <w:r w:rsidR="00FF6BEE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և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ապաստարանի կորուստ) </w:t>
      </w:r>
      <w:r w:rsidR="00FF6BEE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և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տնտեսական (հողի, ակտիվների </w:t>
      </w:r>
      <w:r w:rsidR="00FF6BEE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և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ակտիվների հասանելիության կամ կենսամիջոցների կորուստ) ապակայունացում ենթադրող բոլոր ծրագրերը:</w:t>
      </w:r>
    </w:p>
    <w:p w14:paraId="2E16CDAA" w14:textId="531E307C" w:rsidR="00751DE6" w:rsidRPr="00A77E64" w:rsidRDefault="00751DE6" w:rsidP="00C710EB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ՊՔՀ ներառում է հարկադրված վերաբնակեցման 12 հիմնական սկզբունքներ, որոնք ընդհանուր առմամբ նման են ԿՉ5/ԿՊ5-ի սկզբունքներին: </w:t>
      </w:r>
    </w:p>
    <w:p w14:paraId="4836EA46" w14:textId="65907080" w:rsidR="00751DE6" w:rsidRPr="00A77E64" w:rsidRDefault="00751DE6" w:rsidP="00C710EB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Վերոնշյալ միջազգային ստանդարտներ</w:t>
      </w:r>
      <w:r w:rsidR="00FF6BEE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ը հիմնականում պարունակում են դրույթներ անձանց վերաբնակեցման խնդրի շուրջ՝ անդրադառնալով խնդրին սոցիալական տեսանկյունից և պահանջելով պետություններից հնարավորության սահմաններում ձեռնարկել միջոցներ վերաբնակեցման գործընթացը նվազեցնելու համար, սակայն միևնույն ժամանակ ընդերքօգտագործման գործընթացը բարելավելու համատեքստում միջազգային լավագույն փորձի ուսումնասիրությունը թույլ է տալիս արձանագրել, որ պետությունները հողօգտագործման և առհասարակ հարակից իրավունքների տրամադրման առավել պարզեցված, երբեմն ավտոմատացված ընթացակարգեր են սահմանում։</w:t>
      </w:r>
    </w:p>
    <w:p w14:paraId="04978D2A" w14:textId="77777777" w:rsidR="00B337A5" w:rsidRDefault="00FF6BEE" w:rsidP="00C710EB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Հայաստանյան դոկտրինալ աղբյուրներում նույնպես </w:t>
      </w:r>
      <w:r w:rsidR="007414FE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ուսումնասիրության առարկա է դարձվել սույն հարցը։ Ուսումնասիրությունների արդյունքում ընդգծվել է, որ ՀՀ օրենսդրությամբ ընդերքօգտագործման իրավունքի </w:t>
      </w:r>
      <w:r w:rsidR="0083386C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տրամադրումը</w:t>
      </w:r>
      <w:r w:rsidR="007414FE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գործնականում դեռևս չի երաշխավորում ընդերքօգտագործողին ընդերքօգտագործման աշխատանքներ սկսելու իրավունք, քանի դեռ վե</w:t>
      </w:r>
      <w:r w:rsidR="00B337A5">
        <w:rPr>
          <w:rFonts w:ascii="GHEA Grapalat" w:hAnsi="GHEA Grapalat"/>
          <w:color w:val="000000" w:themeColor="text1"/>
          <w:sz w:val="20"/>
          <w:szCs w:val="20"/>
          <w:lang w:val="hy-AM"/>
        </w:rPr>
        <w:t>ր</w:t>
      </w:r>
      <w:r w:rsidR="007414FE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ջինս ձեռք չի բերել համապատասխան իրավունքներ նաև համապատասխան հողամասի նկատմամբ</w:t>
      </w:r>
      <w:r w:rsidR="007414FE" w:rsidRPr="00A77E64">
        <w:rPr>
          <w:rStyle w:val="FootnoteReference"/>
          <w:rFonts w:ascii="GHEA Grapalat" w:hAnsi="GHEA Grapalat"/>
          <w:color w:val="000000" w:themeColor="text1"/>
          <w:sz w:val="20"/>
          <w:szCs w:val="20"/>
          <w:lang w:val="hy-AM"/>
        </w:rPr>
        <w:footnoteReference w:id="3"/>
      </w:r>
      <w:r w:rsidR="007414FE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։ Ուսումնասիրությունները ցույց են տալիս, որ այս մոտեցումը պրակտիկայում հանգեցնում է մի շարք խնդիրների, որոնք էլ իրենց հերթին ձևավորում են անբարենպաստ միջավայր ներդրումների համար, և ավելորդ բարդեցնում գործընթացը։</w:t>
      </w:r>
      <w:r w:rsidR="00C23C60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Վերջինս առանձնացրել է խնդրի լուծման երեք հնարավոր ինստիտուցիոնալ տարբերակ՝ </w:t>
      </w:r>
    </w:p>
    <w:p w14:paraId="3C1CC492" w14:textId="77777777" w:rsidR="00B337A5" w:rsidRDefault="00B337A5" w:rsidP="00B337A5">
      <w:pPr>
        <w:pStyle w:val="ListParagraph"/>
        <w:numPr>
          <w:ilvl w:val="0"/>
          <w:numId w:val="29"/>
        </w:num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>
        <w:rPr>
          <w:rFonts w:ascii="GHEA Grapalat" w:hAnsi="GHEA Grapalat"/>
          <w:color w:val="000000" w:themeColor="text1"/>
          <w:sz w:val="20"/>
          <w:szCs w:val="20"/>
          <w:lang w:val="hy-AM"/>
        </w:rPr>
        <w:t>Ո</w:t>
      </w:r>
      <w:r w:rsidR="00C23C60" w:rsidRPr="00B337A5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րպես առաջին տարբերակ կարող է քննարկվել ընդերքօգտագործման և հողային իրավունքների՝ ներկայումս գործող քաղաքականության շարունակումը, սակայն փոփոխված տրամաբանությամբ։ Այս </w:t>
      </w:r>
      <w:r w:rsidR="00C23C60" w:rsidRPr="00B337A5">
        <w:rPr>
          <w:rFonts w:ascii="GHEA Grapalat" w:hAnsi="GHEA Grapalat"/>
          <w:color w:val="000000" w:themeColor="text1"/>
          <w:sz w:val="20"/>
          <w:szCs w:val="20"/>
          <w:lang w:val="hy-AM"/>
        </w:rPr>
        <w:lastRenderedPageBreak/>
        <w:t>առաջարկը ենթադրում է, որ համապատասխան հողամասի նկատմամբ իրավունքների առկայությունը պետք է նախապայման հանդիսանա ընդերքօգտագործման իրավունքի տրամադրման համար</w:t>
      </w:r>
      <w:r>
        <w:rPr>
          <w:rFonts w:ascii="GHEA Grapalat" w:hAnsi="GHEA Grapalat"/>
          <w:color w:val="000000" w:themeColor="text1"/>
          <w:sz w:val="20"/>
          <w:szCs w:val="20"/>
          <w:lang w:val="hy-AM"/>
        </w:rPr>
        <w:t>, օ</w:t>
      </w:r>
      <w:r w:rsidR="00C23C60" w:rsidRPr="00B337A5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րինակ՝ կնքելով սեփականատիրոջ հետ նախնական պայմանագիր՝ սահմանելով նաև փոխհատուցման ընթացակարգը։ </w:t>
      </w:r>
    </w:p>
    <w:p w14:paraId="51385F32" w14:textId="77777777" w:rsidR="00B337A5" w:rsidRDefault="00C23C60" w:rsidP="00B337A5">
      <w:pPr>
        <w:pStyle w:val="ListParagraph"/>
        <w:numPr>
          <w:ilvl w:val="0"/>
          <w:numId w:val="29"/>
        </w:num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337A5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Որպես երկրորդ տարբերակ ընտրել գերակա հանրային շահ ճանաչելը, սակայն այս տարբերակը նույնպես անկայուն միջավայր է ձևավորում։ </w:t>
      </w:r>
    </w:p>
    <w:p w14:paraId="51BD4883" w14:textId="04B93BD0" w:rsidR="007414FE" w:rsidRPr="00B337A5" w:rsidRDefault="00C23C60" w:rsidP="00B337A5">
      <w:pPr>
        <w:pStyle w:val="ListParagraph"/>
        <w:numPr>
          <w:ilvl w:val="0"/>
          <w:numId w:val="29"/>
        </w:num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337A5">
        <w:rPr>
          <w:rFonts w:ascii="GHEA Grapalat" w:hAnsi="GHEA Grapalat"/>
          <w:color w:val="000000" w:themeColor="text1"/>
          <w:sz w:val="20"/>
          <w:szCs w:val="20"/>
          <w:lang w:val="hy-AM"/>
        </w:rPr>
        <w:t>Երրորդ հնարավոր տարբերակը հանգում է խնդրի կարգավորում հողային օրենսգրքում փոփոխություններ կատարելու ճանապարհով, որոնցով կնախատեսվեն դատարանի վճռի հիման վրա հարկադիր կարգով հողօգտագործման պայմանագրի կնքում այն դեպքում, երբ ընդերքօգտագործողը և հողամասի սեփականատերը (օգտագործողը) բանակցությունների արդյունքում չեն գա փոխադարձ համաձայնության։</w:t>
      </w:r>
    </w:p>
    <w:p w14:paraId="6BD0E609" w14:textId="29A6FBDE" w:rsidR="007414FE" w:rsidRPr="00A77E64" w:rsidRDefault="007414FE" w:rsidP="00836743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Մյուս կողմից ՏԿԵ նախարարության կողմից պատրաստվել է ոլորտային զեկույց, որի շրջանակներում նույնպես ընդգծվել են այն հիմնական ուղղությունները, որոնց կիրառմամբ ենթադրվում են ընդերքօգտագործման և հողօգտագործման ոլորտների ներդաշնակեցում։ Դրանք հանգում են </w:t>
      </w:r>
      <w:r w:rsidR="00C23C60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հետևյալին</w:t>
      </w:r>
      <w:r w:rsidR="00EA08FA" w:rsidRPr="00A77E64">
        <w:rPr>
          <w:rStyle w:val="FootnoteReference"/>
          <w:rFonts w:ascii="GHEA Grapalat" w:hAnsi="GHEA Grapalat"/>
          <w:color w:val="000000" w:themeColor="text1"/>
          <w:sz w:val="20"/>
          <w:szCs w:val="20"/>
          <w:lang w:val="hy-AM"/>
        </w:rPr>
        <w:footnoteReference w:id="4"/>
      </w:r>
      <w:r w:rsidR="00C23C60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.</w:t>
      </w:r>
    </w:p>
    <w:p w14:paraId="5355E931" w14:textId="6B888977" w:rsidR="00C23C60" w:rsidRPr="00A77E64" w:rsidRDefault="00C23C60" w:rsidP="000366A9">
      <w:pPr>
        <w:pStyle w:val="ListParagraph"/>
        <w:numPr>
          <w:ilvl w:val="0"/>
          <w:numId w:val="19"/>
        </w:numPr>
        <w:spacing w:after="120" w:line="276" w:lineRule="auto"/>
        <w:contextualSpacing w:val="0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Հարակից ոլորտներում իրավունքների տրամադրման պարզեցված համակարգ,</w:t>
      </w:r>
    </w:p>
    <w:p w14:paraId="700E8287" w14:textId="7FD3C655" w:rsidR="00C23C60" w:rsidRPr="00A77E64" w:rsidRDefault="00C23C60" w:rsidP="000366A9">
      <w:pPr>
        <w:pStyle w:val="ListParagraph"/>
        <w:numPr>
          <w:ilvl w:val="0"/>
          <w:numId w:val="19"/>
        </w:numPr>
        <w:spacing w:after="120" w:line="276" w:lineRule="auto"/>
        <w:contextualSpacing w:val="0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Այս ոլորտների միասնականացման և ինքնաշխատ մե</w:t>
      </w:r>
      <w:r w:rsidR="00146D8E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խ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անիզմների ներդրման խնդիր,</w:t>
      </w:r>
    </w:p>
    <w:p w14:paraId="034F82AC" w14:textId="496C4F13" w:rsidR="00C23C60" w:rsidRPr="00A77E64" w:rsidRDefault="00C23C60" w:rsidP="000366A9">
      <w:pPr>
        <w:pStyle w:val="ListParagraph"/>
        <w:numPr>
          <w:ilvl w:val="0"/>
          <w:numId w:val="19"/>
        </w:numPr>
        <w:spacing w:after="120" w:line="276" w:lineRule="auto"/>
        <w:contextualSpacing w:val="0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Ոլորտների համակարգումը իրականացնում են տարբեր պետական մարմիններ,</w:t>
      </w:r>
    </w:p>
    <w:p w14:paraId="5B2279E5" w14:textId="150AE905" w:rsidR="00C23C60" w:rsidRPr="00A77E64" w:rsidRDefault="00C23C60" w:rsidP="000366A9">
      <w:pPr>
        <w:pStyle w:val="ListParagraph"/>
        <w:numPr>
          <w:ilvl w:val="0"/>
          <w:numId w:val="19"/>
        </w:numPr>
        <w:spacing w:after="120" w:line="276" w:lineRule="auto"/>
        <w:contextualSpacing w:val="0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Իրավունքների տրամադրման ժամկետները տարբեր են,</w:t>
      </w:r>
    </w:p>
    <w:p w14:paraId="5E9A2AB9" w14:textId="144D7BD2" w:rsidR="00C23C60" w:rsidRPr="00A77E64" w:rsidRDefault="00C23C60" w:rsidP="000366A9">
      <w:pPr>
        <w:pStyle w:val="ListParagraph"/>
        <w:numPr>
          <w:ilvl w:val="0"/>
          <w:numId w:val="19"/>
        </w:numPr>
        <w:spacing w:after="120" w:line="276" w:lineRule="auto"/>
        <w:contextualSpacing w:val="0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Օրենսդրությունը չի սահմանում հիմնական չափանիշներ, որոնք պետք է պահպանվեն,</w:t>
      </w:r>
    </w:p>
    <w:p w14:paraId="7B93DC1C" w14:textId="4E1429BF" w:rsidR="00C23C60" w:rsidRPr="00A77E64" w:rsidRDefault="00C23C60" w:rsidP="000366A9">
      <w:pPr>
        <w:pStyle w:val="ListParagraph"/>
        <w:numPr>
          <w:ilvl w:val="0"/>
          <w:numId w:val="19"/>
        </w:numPr>
        <w:spacing w:after="120" w:line="276" w:lineRule="auto"/>
        <w:contextualSpacing w:val="0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Հողային օրենսգիրքը չի պարունակում անհրաժեշտ բոլոր դրույթները, այսինքն չկա միասնական ձևավորված իրավական ակտ, որով կկանոնակարգվի ամբողջ գործընթացը, մասնավորապես՝ նպատակային նշանակության փոփոխության մասով,</w:t>
      </w:r>
    </w:p>
    <w:p w14:paraId="13218C1F" w14:textId="00152F01" w:rsidR="00C23C60" w:rsidRPr="00A77E64" w:rsidRDefault="00C23C60" w:rsidP="000366A9">
      <w:pPr>
        <w:pStyle w:val="ListParagraph"/>
        <w:numPr>
          <w:ilvl w:val="0"/>
          <w:numId w:val="19"/>
        </w:numPr>
        <w:spacing w:after="120" w:line="276" w:lineRule="auto"/>
        <w:contextualSpacing w:val="0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Համայնքի հնարավոր անհարկի ձգձգումները և լիազորությունների չարաշահումը</w:t>
      </w:r>
      <w:r w:rsidR="00387C97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,</w:t>
      </w:r>
    </w:p>
    <w:p w14:paraId="67ACF925" w14:textId="245BB32A" w:rsidR="002E5059" w:rsidRPr="00A77E64" w:rsidRDefault="00387C97" w:rsidP="00F70E0D">
      <w:pPr>
        <w:pStyle w:val="ListParagraph"/>
        <w:numPr>
          <w:ilvl w:val="0"/>
          <w:numId w:val="19"/>
        </w:numPr>
        <w:spacing w:after="120" w:line="276" w:lineRule="auto"/>
        <w:contextualSpacing w:val="0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Հողի նպատակային նշանակության փոփոխության գործընթացի մեկնարկը կարող է տալ միայն հողի սեփականատերը։</w:t>
      </w:r>
    </w:p>
    <w:p w14:paraId="1C62DC3D" w14:textId="4AE113BD" w:rsidR="00836743" w:rsidRPr="00A77E64" w:rsidRDefault="00836743" w:rsidP="00836743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Համաշխարհային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բանկի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կողմից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ուսումնասիրության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առարկա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դարձվել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մշակվել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ընդհանուր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սկզբունքներ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հողօգտագործման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հողերի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օտարման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վերը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քննարկման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առարկա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դարձված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այլ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հասկացությունների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բացահայտման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համատեքստում</w:t>
      </w:r>
      <w:r w:rsidR="00EA08FA" w:rsidRPr="00A77E64">
        <w:rPr>
          <w:rStyle w:val="FootnoteReference"/>
          <w:rFonts w:ascii="GHEA Grapalat" w:hAnsi="GHEA Grapalat" w:cs="Sylfaen"/>
          <w:color w:val="000000" w:themeColor="text1"/>
          <w:sz w:val="20"/>
          <w:szCs w:val="20"/>
          <w:lang w:val="hy-AM"/>
        </w:rPr>
        <w:footnoteReference w:id="5"/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։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«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Հողի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օտարում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հողօգտագործման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սահմանափակումներ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հարկադիր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վերաբնակեցում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»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վերտառությամբ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Համաշխարհային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բանկի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ուղեցույցը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թույլ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տալիս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առանձնացնել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որ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այն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կիրառվում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մշտական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Cambria Math" w:hAnsi="Cambria Math" w:cs="Cambria Math"/>
          <w:color w:val="000000" w:themeColor="text1"/>
          <w:sz w:val="20"/>
          <w:szCs w:val="20"/>
          <w:lang w:val="hy-AM"/>
        </w:rPr>
        <w:t>​​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ժամանակավոր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ֆիզիկական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տնտեսական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տեղաշարժերի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նկատմամբ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որոնք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բխում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են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հողի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օտարման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հետևյալ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տեսակներից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հողօգտագործման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սահմանափակումներից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որոնք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ձեռնարկվել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սահմանվել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են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ծրագրով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.</w:t>
      </w:r>
    </w:p>
    <w:p w14:paraId="17A7D76B" w14:textId="77777777" w:rsidR="00836743" w:rsidRPr="00A77E64" w:rsidRDefault="00836743" w:rsidP="00836743">
      <w:pPr>
        <w:spacing w:after="120" w:line="276" w:lineRule="auto"/>
        <w:ind w:firstLine="567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)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հողի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իրավունքները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հողօգտագործման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իրավունքները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որոնք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ձեռք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են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բերվել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սահմանափակվել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օտարման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այլ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պարտադիր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ընթացակարգերի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միջոցով՝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ազգային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օրենսդրության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համաձայն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.</w:t>
      </w:r>
    </w:p>
    <w:p w14:paraId="1CFFF3BF" w14:textId="09F9B6C9" w:rsidR="00836743" w:rsidRPr="00A77E64" w:rsidRDefault="00836743" w:rsidP="00836743">
      <w:pPr>
        <w:spacing w:after="120" w:line="276" w:lineRule="auto"/>
        <w:ind w:firstLine="567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lastRenderedPageBreak/>
        <w:t>բ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)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հող</w:t>
      </w:r>
      <w:r w:rsidR="0083386C"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ային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իրավունքները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հողօգտագործման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իրավունքները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որոնք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ձեռք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են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բերվել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սահմանափակվել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բանակցությունների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արդյունքում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գույքի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սեփականատերերի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հողի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նկատմամբ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օրինական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իրավունքներ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ունեցողների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հետ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եթե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կարգավորման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չհասնելը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կհանգեցներ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օտարման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այլ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պարտադիր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ընթացակարգերի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.</w:t>
      </w:r>
    </w:p>
    <w:p w14:paraId="2236B1FE" w14:textId="1B00A7CE" w:rsidR="00836743" w:rsidRPr="00A77E64" w:rsidRDefault="00836743" w:rsidP="00836743">
      <w:pPr>
        <w:spacing w:after="120" w:line="276" w:lineRule="auto"/>
        <w:ind w:firstLine="567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գ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) </w:t>
      </w:r>
      <w:r w:rsidR="00B337A5">
        <w:rPr>
          <w:rFonts w:ascii="GHEA Grapalat" w:hAnsi="GHEA Grapalat"/>
          <w:color w:val="000000" w:themeColor="text1"/>
          <w:sz w:val="20"/>
          <w:szCs w:val="20"/>
          <w:lang w:val="hy-AM"/>
        </w:rPr>
        <w:t>հ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ողօգտագործման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բնական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ռեսուրսների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հասանելիության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սահմանափակումները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որոնք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հանգեցնում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են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համայնքի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ռեսուրսների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օգտագործման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հասանելիությ</w:t>
      </w:r>
      <w:r w:rsidR="00560AD1"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ան կորստի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որտեղ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նրանք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ունեն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սեփականություն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օգտագործման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ճանաչ</w:t>
      </w:r>
      <w:r w:rsidR="0083386C"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ված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իրավունքներ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: </w:t>
      </w:r>
    </w:p>
    <w:p w14:paraId="27571B51" w14:textId="58130941" w:rsidR="00836743" w:rsidRPr="00A77E64" w:rsidRDefault="00836743" w:rsidP="00836743">
      <w:pPr>
        <w:spacing w:after="120" w:line="276" w:lineRule="auto"/>
        <w:ind w:firstLine="567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դ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)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առանց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ճանաչված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="00560AD1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հող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օգտագործման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իրավունքների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մարդկանց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տեղափոխում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ովքեր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զբաղեցնում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օգտագործում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են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հողը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մինչև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ծրագրի</w:t>
      </w:r>
      <w:r w:rsidR="00560AD1"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վերջնաժամկետը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.</w:t>
      </w:r>
    </w:p>
    <w:p w14:paraId="53BFB530" w14:textId="77777777" w:rsidR="00836743" w:rsidRPr="00A77E64" w:rsidRDefault="00836743" w:rsidP="00836743">
      <w:pPr>
        <w:spacing w:after="120" w:line="276" w:lineRule="auto"/>
        <w:ind w:firstLine="567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ե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)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Մարդկանց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տեղահանումը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ծրագրի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ազդեցության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հետևանքով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որը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նրանց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հողը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դարձնում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անօգտագործելի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անհասանելի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.</w:t>
      </w:r>
    </w:p>
    <w:p w14:paraId="7C96C634" w14:textId="77777777" w:rsidR="00836743" w:rsidRPr="00A77E64" w:rsidRDefault="00836743" w:rsidP="00836743">
      <w:pPr>
        <w:spacing w:after="120" w:line="276" w:lineRule="auto"/>
        <w:ind w:firstLine="567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զ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)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Հողամասի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հասանելիության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այլ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ռեսուրսների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օգտագործման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սահմանափակում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ներառյալ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կոմունալ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գույքը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բնական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ռեսուրսները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ինչպիսիք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են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ծովային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ջրային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ռեսուրսները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փայտանյութը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ոչ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փայտային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անտառային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ապրանքները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քաղցրահամ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ջուրը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բուժիչ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բույսերը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որսորդական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հավաքատեղիները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արոտավայրերը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ցանքատարածությունները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. </w:t>
      </w:r>
    </w:p>
    <w:p w14:paraId="3F3EBBF1" w14:textId="7F619BF8" w:rsidR="00836743" w:rsidRPr="00A77E64" w:rsidRDefault="00836743" w:rsidP="00836743">
      <w:pPr>
        <w:spacing w:after="120" w:line="276" w:lineRule="auto"/>
        <w:ind w:firstLine="567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)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Հողային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իրավունքներ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պահանջներ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հողի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ռեսուրսների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նկատմամբ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որոնք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="00560AD1"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չ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են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="00560AD1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ընդունվել </w:t>
      </w:r>
      <w:r w:rsidR="00560AD1"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մասնավոր սեփականատերերի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համայնքների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կողմից՝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առանց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փոխհատուցման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լրիվ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վճարման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</w:p>
    <w:p w14:paraId="64BCDA8D" w14:textId="77777777" w:rsidR="00836743" w:rsidRPr="00A77E64" w:rsidRDefault="00836743" w:rsidP="00836743">
      <w:pPr>
        <w:spacing w:after="120" w:line="276" w:lineRule="auto"/>
        <w:ind w:firstLine="567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)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Հողի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օտարման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հողօգտագործման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սահմանափակումները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որոնք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տեղի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են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ունեցել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նախքան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նախագիծը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բայց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որոնք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ձեռնարկվել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նախաձեռնվել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են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ծրագրին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ընդառաջ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նախապատրաստվելիս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:</w:t>
      </w:r>
    </w:p>
    <w:p w14:paraId="26496471" w14:textId="4E7377A0" w:rsidR="00836743" w:rsidRPr="00A77E64" w:rsidRDefault="00836743" w:rsidP="00836743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Հողամասերի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հիմնական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միջոցների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կատեգորիաների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փոխհատուցման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չափորոշիչները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="00560AD1"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 xml:space="preserve">պետք է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բացահայտվեն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կիրառվեն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հետևողականորեն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: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Բոլոր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դեպքերում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="00560AD1"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 xml:space="preserve">պետք է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փաստագրվի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փոխհատուցման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հաշվարկման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հստակ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հիմք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փոխհատուցումը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բաշխվի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թափանցիկ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ընթացակարգերի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="00560AD1"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միջոցով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:</w:t>
      </w:r>
    </w:p>
    <w:p w14:paraId="689F0F7A" w14:textId="1B1340CD" w:rsidR="00836743" w:rsidRPr="00A77E64" w:rsidRDefault="00836743" w:rsidP="00836743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Որոշ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դեպքերում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կարող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են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լինել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զգալի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դժվարություններ՝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կապված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որոշակի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ազդակիր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անձանց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փոխհատուցման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հետ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օրինակ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երբ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բացակայող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սեփականատերերի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հետ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կապ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հաստատելու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բազմակի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ջանքերը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ձախողվել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են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երբ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ծրագրի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ազդեցության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ենթարկված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անձինք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մերժել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են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փոխհատուցումը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որն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առաջարկվել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նրանց՝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համաձայն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հաստատված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պահանջների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: </w:t>
      </w:r>
    </w:p>
    <w:p w14:paraId="4CA9CB6B" w14:textId="4FB664F9" w:rsidR="0083386C" w:rsidRPr="00A77E64" w:rsidRDefault="0083386C" w:rsidP="00836743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Վերոշարադրյալը գալիս է փաստելու, որ ներկայիս միջազգային գրականությունը հիմնականում սահմանում է այն մինիմալ ստանդարտները, որոնք պետք է ապահովվեն պետության կողմից՝ երաշխավորելու համար հողասեփականատերերի իրավունքները, սակայն միևնույն ժամանակ միջազգային դոկտրինալ աղբյուրները փաստում են, որ յուրաքանչյուր իրավունք համարվում է տրամադրված միայն այն պայմաններում, երբ երաշխավորվում է այդ իրավունքի իրացման համար բարենպաստ պայմանների ապահովումը պետության կողմից, ուստի սույն դեպքում խնդիրը կայանում է վերը վերլուծության ենթարկված չափանիշների պահպանմամբ այնպիսի գործիքակազմի օրենսդրական ամրագրումը, որը կերաշխավորի նաև ընդերքօգտագործողների իրավունքները։ Այդ առումով հատկանշական է միջազգային լավագույն փորձը։ </w:t>
      </w:r>
    </w:p>
    <w:p w14:paraId="6CF51790" w14:textId="77777777" w:rsidR="00836743" w:rsidRPr="00A77E64" w:rsidRDefault="00836743" w:rsidP="00836743">
      <w:pPr>
        <w:spacing w:after="120" w:line="276" w:lineRule="auto"/>
        <w:ind w:left="567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p w14:paraId="211D2A88" w14:textId="3CB0D4EB" w:rsidR="007F1B40" w:rsidRPr="00A77E64" w:rsidRDefault="00F70E0D" w:rsidP="00F33CD5">
      <w:pPr>
        <w:pStyle w:val="Heading2"/>
        <w:numPr>
          <w:ilvl w:val="2"/>
          <w:numId w:val="23"/>
        </w:numPr>
        <w:spacing w:after="120" w:line="276" w:lineRule="auto"/>
        <w:jc w:val="both"/>
        <w:rPr>
          <w:rFonts w:ascii="GHEA Grapalat" w:eastAsia="Calibri" w:hAnsi="GHEA Grapalat" w:cs="Sylfaen"/>
          <w:b/>
          <w:color w:val="7030A0"/>
          <w:sz w:val="20"/>
          <w:szCs w:val="20"/>
          <w:lang w:val="hy-AM"/>
        </w:rPr>
      </w:pPr>
      <w:bookmarkStart w:id="4" w:name="_Toc96025849"/>
      <w:r w:rsidRPr="00A77E64">
        <w:rPr>
          <w:rFonts w:ascii="GHEA Grapalat" w:eastAsia="Calibri" w:hAnsi="GHEA Grapalat" w:cs="Sylfaen"/>
          <w:b/>
          <w:color w:val="7030A0"/>
          <w:sz w:val="20"/>
          <w:szCs w:val="20"/>
          <w:lang w:val="hy-AM"/>
        </w:rPr>
        <w:lastRenderedPageBreak/>
        <w:t>ԻՐԱՎԱԿԱՆ ԴԱՇՏԻ ՎԵՐԼՈՒԾՈՒԹՅՈՒՆ</w:t>
      </w:r>
      <w:bookmarkEnd w:id="4"/>
    </w:p>
    <w:p w14:paraId="590BC15F" w14:textId="10E0932A" w:rsidR="00DA27CE" w:rsidRPr="00A77E64" w:rsidRDefault="00DA27CE" w:rsidP="00DA27CE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ՀՀ օրենսդրության համակարգային վերլուծությունը թույլ է տալիս արձանագրել, որ ընդերքօգտագործման ծրագրի իրականացման համար անհրաժեշտ հողամասերը հասանելի չեն ընդերքօգտագործողներին՝ հողի նկատմամբ սեփականության իրավունքի հաստատման անհնարինության կամ տեղական ինքնակառավարման մարմինների հետ վարձակալության պայմանագրեր կնքելու անհնարինության պատճառով։</w:t>
      </w:r>
    </w:p>
    <w:p w14:paraId="33065213" w14:textId="77777777" w:rsidR="00DA27CE" w:rsidRPr="00A77E64" w:rsidRDefault="00DA27CE" w:rsidP="00DA27CE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Ընդերքի նկատմամբ իրավունքները չեն երաշխավորում սուբյեկտի իրավունքները հողի այն հատվածների նկատմամբ, որոնք գտնվում են հարուստ ընդերքից վեր կամ այն վայրերում, որոնք անհրաժեշտ են ծրագրի իրականացման համար։</w:t>
      </w:r>
    </w:p>
    <w:p w14:paraId="33E84D07" w14:textId="4BAE472D" w:rsidR="00DA27CE" w:rsidRPr="00A77E64" w:rsidRDefault="00DA27CE" w:rsidP="00F70E0D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Վերոնշյալ հարաբերությունների կարգավորման ամբողջական բեռը դրվում է ընդերքօգտագործողի վրա՝ բանակցությունների և/կամ դատական գործընթացների համատեքստում։ Ընդերքօգտագործողը պետք է կարգավորի նաև հողամասերի նպատակային նշանակության փոփոխության գործընթացը այն պայմաններում, երբ ներկայումս գործող կարգավորումները այդ գործընթացի մեկնարկը կապում են հողի սեփականատիրոջ կամահայտնության հետ։ Հողերի կատեգորիաների փոփոխությունը իրականացվում է համայնքի ավագանու կողմից, իսկ հողային ֆոնդի կատեգորիաները և փոփոխման կարգը չեն կարգավորվում Հողային օրենսգրքով, այլ սահմանվում են «Քաղաքաշինության մասին» ՀՀ օրենքով։ </w:t>
      </w:r>
    </w:p>
    <w:p w14:paraId="5A483EEE" w14:textId="070708C6" w:rsidR="007F1B40" w:rsidRPr="00A77E64" w:rsidRDefault="007F1B40" w:rsidP="00F70E0D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Ընդերքի մասին ՀՀ օրենսգ</w:t>
      </w:r>
      <w:r w:rsidR="00F64C56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րքի</w:t>
      </w:r>
      <w:r w:rsidR="00F70E0D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(այսուհետ՝ Օրենսգիրք)</w:t>
      </w:r>
      <w:r w:rsidR="00F64C56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համաձայն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="001C104B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նդերքը կարող է օգտագործվել` 1) երկրաբանական ուսումնասիրությունների նպատակով. 2) օգտակար հանածոների արդյունահանման նպատակով:</w:t>
      </w:r>
    </w:p>
    <w:p w14:paraId="52F5B4F7" w14:textId="129F447D" w:rsidR="00F64C56" w:rsidRPr="00A77E64" w:rsidRDefault="00836743" w:rsidP="00F70E0D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Չնայած այն հանգամանքին, որ Օրենսգիրքը կանոնակարգում է ընդերքօգտագործման գործընթացը</w:t>
      </w:r>
      <w:r w:rsidR="00F64C56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այդուհանդերձ </w:t>
      </w:r>
      <w:r w:rsidR="00F64C56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այդ ընթացակարգը չի ենթադրում հո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ղ</w:t>
      </w:r>
      <w:r w:rsidR="00F64C56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օգտագործման իրավունքի միաժաման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ակյա</w:t>
      </w:r>
      <w:r w:rsidR="00F64C56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տրամադրում, և այս ինստիտուտները տարբեր ընթացակարգերով են կանոնակարգվում։</w:t>
      </w:r>
    </w:p>
    <w:p w14:paraId="6E84EA79" w14:textId="3A6E523F" w:rsidR="007B44CE" w:rsidRPr="00A77E64" w:rsidRDefault="007B44CE" w:rsidP="00F70E0D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Օրենսգիրքը որպես տեղական ինքնակառավարման մարմինների իրավասություն </w:t>
      </w:r>
      <w:r w:rsidR="00F64C56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է 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սահմանվել համայնքի ղեկավարի կողմից, համայնքի ավագանու որոշմամբ, ընդերքօգտագործման իրավունք ունեցող անձանց հետ հողօգտագործման պայմանագրի կնքումը։ Ընդ որում</w:t>
      </w:r>
      <w:r w:rsidR="002D0985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ընդերքօգտագործողի </w:t>
      </w:r>
      <w:r w:rsidR="002D0985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և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տեղական ինքնակառավարման մարմնի միջ</w:t>
      </w:r>
      <w:r w:rsidR="002D0985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և 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իրավահարաբերությունների կարգավոր</w:t>
      </w:r>
      <w:r w:rsidR="00836743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ումը 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Օրենսգիրքը </w:t>
      </w:r>
      <w:r w:rsidR="00836743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պատվիրակում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է օրենսդրությամբ սահմանված ընդհանուր կարգին, որն ընդերքօգտագործման ոլորտում հողահատկացման հատուկ կարգ չի նախատեսում։ ՀՀ օրենսդրությամբ ընդերքօգտագործման </w:t>
      </w:r>
      <w:r w:rsidR="002D0985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և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հողային հարաբերությունների հստակ տարանջատվածությունը բխում է նա</w:t>
      </w:r>
      <w:r w:rsidR="002D0985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և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Օրենսգրքի այն դրույթից, ըստ որի՝ ընդերքի օգտագործման իրավունք ստացած անձը չի կարող սկսել հանքարդյունահանման աշխատանքներն առանց տվյալ տարածքի համապատասխան սեփականատիրոջ համաձայնության կամ հողատարածքի օգտագործման պայմանագրի:</w:t>
      </w:r>
    </w:p>
    <w:p w14:paraId="114E51D5" w14:textId="67650CBB" w:rsidR="002D0985" w:rsidRPr="00A77E64" w:rsidRDefault="00560AD1" w:rsidP="009D5B7B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Հ</w:t>
      </w:r>
      <w:r w:rsidR="00F64C56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ողային օրենսգրքի</w:t>
      </w:r>
      <w:r w:rsidR="002D0985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13-րդ հոդվածի 6-րդ մասի համաձայն` օգտակար հանածոների արդյունահանման համար հողամասերը տրամադրվում են ընդերքի օգտագործման իրավունք հաստատող փաստաթղթերին համապատասխան: </w:t>
      </w:r>
    </w:p>
    <w:p w14:paraId="08E79ED9" w14:textId="0BA76D22" w:rsidR="002D0985" w:rsidRPr="00A77E64" w:rsidRDefault="000E14C9" w:rsidP="009D5B7B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Վերոնշյալ իրավադրույթները նույնպես գալիս են փաստելու, որ հողահատկացման առանձնահատուկ կարգ ընդերքօգտագործման շրջանակներում նախատեսված չէ։ </w:t>
      </w:r>
      <w:r w:rsidRPr="00425E99">
        <w:rPr>
          <w:rFonts w:ascii="GHEA Grapalat" w:hAnsi="GHEA Grapalat"/>
          <w:color w:val="000000" w:themeColor="text1"/>
          <w:sz w:val="20"/>
          <w:szCs w:val="20"/>
          <w:lang w:val="hy-AM"/>
        </w:rPr>
        <w:t>Հետևաբար</w:t>
      </w:r>
      <w:r w:rsidR="00371F67" w:rsidRPr="00425E99">
        <w:rPr>
          <w:rFonts w:ascii="GHEA Grapalat" w:hAnsi="GHEA Grapalat"/>
          <w:color w:val="000000" w:themeColor="text1"/>
          <w:sz w:val="20"/>
          <w:szCs w:val="20"/>
          <w:lang w:val="hy-AM"/>
        </w:rPr>
        <w:t>,</w:t>
      </w:r>
      <w:r w:rsidRPr="00425E99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քանի դեռ առկա չէ հողօգտագործման իրավունք ընդերքօգտագործողը</w:t>
      </w:r>
      <w:r w:rsidR="00425E99">
        <w:rPr>
          <w:rFonts w:ascii="GHEA Grapalat" w:hAnsi="GHEA Grapalat"/>
          <w:color w:val="000000" w:themeColor="text1"/>
          <w:sz w:val="20"/>
          <w:szCs w:val="20"/>
          <w:lang w:val="hy-AM"/>
        </w:rPr>
        <w:t>,</w:t>
      </w:r>
      <w:r w:rsidRPr="00425E99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անկախ այն հանգամանքից</w:t>
      </w:r>
      <w:r w:rsidR="00425E99">
        <w:rPr>
          <w:rFonts w:ascii="GHEA Grapalat" w:hAnsi="GHEA Grapalat"/>
          <w:color w:val="000000" w:themeColor="text1"/>
          <w:sz w:val="20"/>
          <w:szCs w:val="20"/>
          <w:lang w:val="hy-AM"/>
        </w:rPr>
        <w:t>՝</w:t>
      </w:r>
      <w:r w:rsidRPr="00425E99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ունի համապատասխան թույլտվություն թե ոչ</w:t>
      </w:r>
      <w:r w:rsidR="00851ADC" w:rsidRPr="00425E99">
        <w:rPr>
          <w:rFonts w:ascii="GHEA Grapalat" w:hAnsi="GHEA Grapalat"/>
          <w:color w:val="000000" w:themeColor="text1"/>
          <w:sz w:val="20"/>
          <w:szCs w:val="20"/>
          <w:lang w:val="hy-AM"/>
        </w:rPr>
        <w:t>,</w:t>
      </w:r>
      <w:r w:rsidR="00851ADC" w:rsidRPr="00851ADC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="00851ADC">
        <w:rPr>
          <w:rFonts w:ascii="GHEA Grapalat" w:hAnsi="GHEA Grapalat"/>
          <w:color w:val="000000" w:themeColor="text1"/>
          <w:sz w:val="20"/>
          <w:szCs w:val="20"/>
          <w:lang w:val="hy-AM"/>
        </w:rPr>
        <w:t>փաստացի չունի ընդերքօգտագործման իրավունքը</w:t>
      </w:r>
      <w:r w:rsidR="00425E99" w:rsidRPr="00425E99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="00425E99">
        <w:rPr>
          <w:rFonts w:ascii="GHEA Grapalat" w:hAnsi="GHEA Grapalat"/>
          <w:color w:val="000000" w:themeColor="text1"/>
          <w:sz w:val="20"/>
          <w:szCs w:val="20"/>
          <w:lang w:val="hy-AM"/>
        </w:rPr>
        <w:t>իրացնելու հնարավորություն</w:t>
      </w:r>
      <w:r w:rsidR="00851ADC">
        <w:rPr>
          <w:rFonts w:ascii="GHEA Grapalat" w:hAnsi="GHEA Grapalat"/>
          <w:color w:val="000000" w:themeColor="text1"/>
          <w:sz w:val="20"/>
          <w:szCs w:val="20"/>
          <w:lang w:val="hy-AM"/>
        </w:rPr>
        <w:t>։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Փաստորեն ներկայումս գործող իրավակարգավորումների շրջանակում ակնհայտ է, որ անձը ունենալով ընդերքօգտագործման թույլտվություն </w:t>
      </w:r>
      <w:r w:rsidR="002D0985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քանի դեռ ձեռք չի բերել համապատասխան իրավունքներ նաև համապատասխան հողամասի նկատմամբ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իրավունք, չի կարող իրացնել ընդերքօգտագործման իր իրավունքը (նույնիսկ նախնական աշխատանքների համատեքստում)</w:t>
      </w:r>
      <w:r w:rsidR="002D0985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։</w:t>
      </w:r>
    </w:p>
    <w:p w14:paraId="289A5298" w14:textId="462571EB" w:rsidR="00836743" w:rsidRPr="00A77E64" w:rsidRDefault="000E14C9" w:rsidP="009D5B7B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lastRenderedPageBreak/>
        <w:t>Ի տարբերություն վերոշարադրյալի</w:t>
      </w:r>
      <w:r w:rsidR="00371F67">
        <w:rPr>
          <w:rFonts w:ascii="GHEA Grapalat" w:hAnsi="GHEA Grapalat"/>
          <w:color w:val="000000" w:themeColor="text1"/>
          <w:sz w:val="20"/>
          <w:szCs w:val="20"/>
          <w:lang w:val="hy-AM"/>
        </w:rPr>
        <w:t>՝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ռ</w:t>
      </w:r>
      <w:r w:rsidR="002D0985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ադիոակտիվ հումքի երկրաբանական ուսումնասիրության իրավունքի տրամադրման դեպքում, որը կատարվում է միայն մրցութային կարգով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="002D0985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պետութունը, ի դեմս լիազոր մարմնի, նախապես հողամասերի սեփականատերերի հետ լուծում է հողային հարցը և նոր միայն մրցութային կարգով տրամադրում է երկրաբանական ուսումնասիրության իրավունքը։ </w:t>
      </w:r>
    </w:p>
    <w:p w14:paraId="42800569" w14:textId="72B382D4" w:rsidR="002D0985" w:rsidRPr="00A77E64" w:rsidRDefault="002D0985" w:rsidP="009D5B7B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Հողային օրենսգրքի 83-րդ հոդվածը ևս վերաբերում է միայն երկրաբանական ուսումնասիրություններին։</w:t>
      </w:r>
    </w:p>
    <w:p w14:paraId="0FC1362D" w14:textId="3A04D516" w:rsidR="000F59A7" w:rsidRPr="00A77E64" w:rsidRDefault="000F59A7" w:rsidP="009D5B7B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>ՀՀ դատական պրակտիկա</w:t>
      </w:r>
      <w:r w:rsidR="00836743"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յի ուսումնասիրությունը թույլ է տալիս փաստել, որ 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օրենսգրքով սահմանված կարգով ընդերքօգտագործման իրավունքի ձեռքբերումը պարտադիր հիմք է տեղական ինքնակառավարման մարմինների կողմից համապատասխան հողամասը օգտագործման իրավունքով ընդերքօգտագործողին տրամադրելու համար: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Ընդ որում, նշված լիազորությունը հայեցողական չէ, քանի որ ընդերքօգտագործողը լեռնահատկացման սահմաններում ունի գործունեության բացառիկ իրավունք, որը կարող է ապահովվել միայն համապատասխան հողամասի տրամադրմամբ:</w:t>
      </w:r>
    </w:p>
    <w:p w14:paraId="024811C7" w14:textId="63758C90" w:rsidR="000F59A7" w:rsidRPr="00A77E64" w:rsidRDefault="00836743" w:rsidP="009D5B7B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>Դ</w:t>
      </w:r>
      <w:r w:rsidR="000F59A7"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ատարանները, որպես կանոն, հակված են հողային օրենսգրքի 13-րդ հոդվածի 6-րդ մասը մեկնաբանել որպես պետության և համայնքի համար պարտավորեցնող նորմ, որի ուժով վերջիններիս համար ընդերքօգտագործողին համապատասխան հողամասի տրամադրումը պարտադիր է։ 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>Սակայն դատական պրակտիկան, հնարավոր է, տարաբնույթ մեկնաբանության արժանացնի սույն նորմը։</w:t>
      </w:r>
    </w:p>
    <w:p w14:paraId="04763120" w14:textId="61C901BB" w:rsidR="00853F73" w:rsidRPr="00A77E64" w:rsidRDefault="00853F73" w:rsidP="00566FA4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Մյուս կողմից էական է նաև հողերի նպատակային նշանակության փոփոխութ</w:t>
      </w:r>
      <w:r w:rsidR="0003040E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յան ընթացակարգի համապատասխանեցումը և առանձին կարգավորումների սահմանումը։ Հողային օրենսգրքի 102-րդ հոդվածը սահմանում է այն հիմքերը</w:t>
      </w:r>
      <w:r w:rsidR="00371F67">
        <w:rPr>
          <w:rFonts w:ascii="GHEA Grapalat" w:hAnsi="GHEA Grapalat"/>
          <w:color w:val="000000" w:themeColor="text1"/>
          <w:sz w:val="20"/>
          <w:szCs w:val="20"/>
          <w:lang w:val="hy-AM"/>
        </w:rPr>
        <w:t>,</w:t>
      </w:r>
      <w:r w:rsidR="0003040E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որոնցով հողօգտագործման իրավունքը դադարեցվում է՝ դրանց շրջանակում առանձնացնելով հողի՝ ոչ նպատակային նշանակությամբ օգտագործումը։ Մինչդեռ նպատակային նշանակության փոփոխության գործընթացը հնարավոր է սկսել միայն հողի սեփականատիրոջ նախաձեռնությամբ, հետևաբար սույն գործընթացում նույնպես անհրաժեշտ են հստակ մեխանիզմներ նպատակային նշանակության փոփոխությունը ապահովելու համատեքստում, հակառակ դեպքում այս հիմքով հնարավոր է ընդերքօգտագործողի իրավունքների անհարկի միջամտություն։ Նույն ընթացակարգը տարածվում է նաև հողամասում կառուցապատում իրականացնելու գործընթացի</w:t>
      </w:r>
      <w:r w:rsidR="0083386C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վրա</w:t>
      </w:r>
      <w:r w:rsidR="0003040E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։</w:t>
      </w:r>
    </w:p>
    <w:p w14:paraId="551F68BE" w14:textId="666F7FB6" w:rsidR="00836743" w:rsidRPr="00A77E64" w:rsidRDefault="00836743" w:rsidP="00836743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Հաշվի առնելով վերոշարադրյալը հողային իրավունքների միաժամանակյա տրամադրումը կամ առնվազն այդ հարաբերությունների օրենսդրական կառուցակարգերի պարզեցումը հանդիսանում է առաջնահերթություն։</w:t>
      </w:r>
    </w:p>
    <w:p w14:paraId="5E835756" w14:textId="7BE779EA" w:rsidR="0083386C" w:rsidRPr="00A77E64" w:rsidRDefault="0083386C" w:rsidP="00836743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Պարզեցման եղանակները տարբեր են և առավել մանրամասն ներկայացված են միջազգային փորձի ուսումնասիրության շրջանակներում, սակայն ընտրված գործիքակազմը հատկապես կարևոր է, որ համապատասխանի ՀՀ օրենսդրության տրամաբանությանը։</w:t>
      </w:r>
    </w:p>
    <w:p w14:paraId="7A3CFF77" w14:textId="02569977" w:rsidR="0083386C" w:rsidRPr="00A77E64" w:rsidRDefault="0083386C" w:rsidP="00836743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Պետական և համայնքային սեփականություն հանդիսացող հողատարածքներում օգտագործման իրավունքի տրամադրման հարցի լուծումը կարծես թե ակնհայտ է, Հողային օրենսգիրքը պետք է ամրագրի հատուկ կարգավորումներ սույն դեպքի համար՝ նախատեսելով հողօգտագործման իրավունքի միաժամանակյա տրամադրում և հարցի քննարկում ընդերքօգտագործման իրավունքի տրամադրման փուլում՝ համալիր իրավունքներ տրամադրելու համատեքստում։ Սույն կառուցակարգը համապատասխանում է թե</w:t>
      </w:r>
      <w:r w:rsidR="00371F67">
        <w:rPr>
          <w:rFonts w:ascii="GHEA Grapalat" w:hAnsi="GHEA Grapalat"/>
          <w:color w:val="000000" w:themeColor="text1"/>
          <w:sz w:val="20"/>
          <w:szCs w:val="20"/>
          <w:lang w:val="hy-AM"/>
        </w:rPr>
        <w:t>՛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միջազգային ստանդարտներին, թե</w:t>
      </w:r>
      <w:r w:rsidR="00371F67">
        <w:rPr>
          <w:rFonts w:ascii="GHEA Grapalat" w:hAnsi="GHEA Grapalat"/>
          <w:color w:val="000000" w:themeColor="text1"/>
          <w:sz w:val="20"/>
          <w:szCs w:val="20"/>
          <w:lang w:val="hy-AM"/>
        </w:rPr>
        <w:t>՛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միջազգային լավագույն փորձին և երաշխավորում է ներդրումային գրավիչ միջավայրի ձևավորումը և ընդերքօգտագործողների իրավունքների պաշտպանությունը։</w:t>
      </w:r>
    </w:p>
    <w:p w14:paraId="6268ADA2" w14:textId="700FC33F" w:rsidR="0083386C" w:rsidRPr="00A77E64" w:rsidRDefault="0083386C" w:rsidP="00836743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Երբ խոսքը գնում է մասնավոր անձանց պատկանող տարածքների մասին, այս դեպքում ՀՀ իրավական դաշտի համար լավագույն լուծումը կարող է հանդիսանալ սերվիտուտի սահմանումը տվյալ տարածքի համար, ինչը նույնպես միջազգային լավագույն փորձից բխող տարբերակներից մեկն է։ </w:t>
      </w:r>
    </w:p>
    <w:p w14:paraId="6A229F4D" w14:textId="77777777" w:rsidR="0083386C" w:rsidRPr="00A77E64" w:rsidRDefault="0083386C" w:rsidP="0083386C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lastRenderedPageBreak/>
        <w:t>Այսպես՝ ՀՀ քաղաքացիական օրենսգրքի 210-րդ հոդվածը սերվիտուտը բնորոշում է որպես ուրիշի հողամասից սահմանափակ օգտվելու իրավունք:</w:t>
      </w:r>
    </w:p>
    <w:p w14:paraId="27C22BEB" w14:textId="3D0481D0" w:rsidR="0083386C" w:rsidRPr="00A77E64" w:rsidRDefault="0083386C" w:rsidP="0083386C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Սերվիտուտ կարող է սահմանվել հարևան կամ այլ հողամասով անցնելու և երթևեկելու, էլեկտրահաղորդման, կապի գծերի և խողովակաշարերի անցկացման ու շահագործման, ջրամատակարարման և հողաբարելավման, ինչպես նաև անշարժ գույքի սեփականատիրոջ այլ կարիքների համար, որոնք չեն կարող ապահովվել առանց սերվիտուտի սահմանման։ </w:t>
      </w:r>
    </w:p>
    <w:p w14:paraId="41E06308" w14:textId="77777777" w:rsidR="0083386C" w:rsidRPr="00A77E64" w:rsidRDefault="0083386C" w:rsidP="0083386C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Սերվիտուտը կարող է լինել կամավոր և հարկադիր:</w:t>
      </w:r>
    </w:p>
    <w:p w14:paraId="129486F6" w14:textId="39DE2670" w:rsidR="0083386C" w:rsidRPr="00A77E64" w:rsidRDefault="0083386C" w:rsidP="0083386C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Կամավոր սերվիտուտը սահմանվում է սերվիտուտ պահանջող անձի և հարևան կամ այլ հողամասի սեփականատիրոջ` նոտարական կարգով վավերացված գրավոր համաձայնությամբ: Հարկադիր սերվիտուտը սահմանվում է դատարանով` սերվիտուտ պահանջող անձի հայցով` կամավոր սերվիտուտ սահմանելու կամ դրա պայմանների վերաբերյալ համաձայնության չգալու դեպքում: Սերվիտուտը ենթակա է պետական գրանցման` գույքի նկատմամբ իրավունքների պետական գրանցման մասին օրենքով սահմանված կարգով, բացառությամբ</w:t>
      </w:r>
      <w:r w:rsidR="00F049D4">
        <w:rPr>
          <w:rFonts w:ascii="GHEA Grapalat" w:hAnsi="GHEA Grapalat"/>
          <w:color w:val="000000" w:themeColor="text1"/>
          <w:sz w:val="20"/>
          <w:szCs w:val="20"/>
          <w:lang w:val="hy-AM"/>
        </w:rPr>
        <w:t>՝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այդ օրենքով նախատեսված դեպքերի:</w:t>
      </w:r>
    </w:p>
    <w:p w14:paraId="6BB9C59B" w14:textId="6C7F3D94" w:rsidR="0083386C" w:rsidRPr="00A77E64" w:rsidRDefault="0083386C" w:rsidP="0083386C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Սերվիտուտով ծանրաբեռնված հողամասի սեփականատերն իրավունք ունի հողամասն օգտագործելու համար վճար պահանջել այն անձանցից, ի շահ որոնց սահմանվել է սերվիտուտը, եթե այլ բան նախատեսված չէ օրենքով կամ պայմանագրով: Կամավոր սերվիտուտի վճարի չափը որոշվում է կողմերի համաձայնությամբ, իսկ հարկադիր սերվիտուտի դեպքում` դատարանի վճռով կամ օրենքով:</w:t>
      </w:r>
    </w:p>
    <w:p w14:paraId="38070AE2" w14:textId="1447B746" w:rsidR="00836743" w:rsidRPr="00A77E64" w:rsidRDefault="0083386C" w:rsidP="00836743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Սույն ինստիտուտի կիրառելիությունը նորույթ չէ ներպետական օրենսդրական մակարդակում, միևնույն ժամանակ կիրառվում է նաև տարբեր պետություններում, այն կարող է հստակ կանոնակարգել մասնավոր անձանց սեփականության իրավունքով պատկանող հողամասերի օգտագործման գործընթացը և միևնույն ժամանակ ապահովել հողասեփականատերերի իրավունքների պաշտպանությունը։ </w:t>
      </w:r>
    </w:p>
    <w:p w14:paraId="69BE8B74" w14:textId="62985DDD" w:rsidR="0083386C" w:rsidRPr="00A77E64" w:rsidRDefault="0083386C" w:rsidP="00836743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Հատկապես կարևորվում է հստակ իրավական ամրագրման ենթարկել ոչ միայն սերվիտուտի սահմանման հնարավորությունը այս դեպքում, այլև այն իրավունքների շրջանակը, որը ընդերքօգտագործողը սերվիտուտի շրջանակներում ձեռք է բերելու, ինչպես նաև փոխհատուցման ընթացակարգը և երաշխիքների ապահովումը՝ հնարավոր վնասները հետագայում փոխհատուցելու համար։</w:t>
      </w:r>
    </w:p>
    <w:p w14:paraId="772BCF73" w14:textId="04B4FB78" w:rsidR="0083386C" w:rsidRPr="00A77E64" w:rsidRDefault="0083386C" w:rsidP="00836743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Միևնույն ժամանակ ՀՀ իրավական դաշտի վերլուծությունը թույլ է տալիս փաստել, որ ներկայումս հողամասի նպատակային նշանակության փոփոխությունը հնարավոր է իրականացնել միայն սեփականատիրոջ նախաձեռնությամբ։ Այս դեպքում ևս անհրաժեշտ է սահմանել պետական և համայնքային սեփականություն հանդիսացող հողերի նպատակային նշանակության հարցի փոփոխության դիտարկում դեռևս ընդերքօգտագործման իրավունքի տրամադրման փուլում, ընդ որում հաշվի առնելով համայնքային ինքնակառավարվող բնույթը, սույն դեպքում պետությունը պետք է կայուն համագործակցություն իրականացնի համայնքների և ընդերքօգտագործողների միջև, որպեսզի գործընթացը անհարկի պատճառներով չկասեցվի</w:t>
      </w:r>
      <w:r w:rsidR="00F049D4">
        <w:rPr>
          <w:rFonts w:ascii="GHEA Grapalat" w:hAnsi="GHEA Grapalat"/>
          <w:color w:val="000000" w:themeColor="text1"/>
          <w:sz w:val="20"/>
          <w:szCs w:val="20"/>
          <w:lang w:val="hy-AM"/>
        </w:rPr>
        <w:t>: 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նչ վերաբերում է մասնավոր սեփականությանը, ապա այս դեպքում պետք է սահմանվի սերվիտուտի սահմանումով համաձայնագրի կնքում, ինչը ևս բխում է միջազգային լավագույն փորձից, որի շրջանակներում հստակ պայմանավորվածություն ձեռք կբերվի փոխհատուցման պայմանների և նպատակային նշանակության փոփոխության համաձայնություն տալու վերաբերյալ։</w:t>
      </w:r>
    </w:p>
    <w:p w14:paraId="20FA110C" w14:textId="58893442" w:rsidR="0083386C" w:rsidRPr="00A77E64" w:rsidRDefault="0083386C" w:rsidP="00836743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Բնականաբար դեռևս հնարավոր է իրավիճակ, երբ սեփականատերը հրաժարվում է կամ խոչընդոտում է գործընթացին, այս դեպքերի համար, ինչպես ընդունված է միջազգային պրակտիկայում, անհրաժեշտ է նախատեսել գերակա հանրային շահի ճանաչման գործիքակազմ՝ պարտադիր տրվող փոխհատուցումով, որի շրջանակներում 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lastRenderedPageBreak/>
        <w:t>կպահպանվի անձի լսված լինելու իրավունքը և սեփականատերը հնարավորություն կունենա ներկայացնել հիմնավորումներ, եթե այդպիսիք առկա են, որոնք էական նշանակություն ունեն հողօգտագործման իրավունքի տրամադրման հարցի շուրջ։</w:t>
      </w:r>
    </w:p>
    <w:p w14:paraId="22A6A437" w14:textId="4D0F2237" w:rsidR="0083386C" w:rsidRPr="00A77E64" w:rsidRDefault="0083386C" w:rsidP="00836743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Վերոշարադրյալ գործընթացը պետք է իրականացվի ընդերքօգտագործման իրավունքի տրամադրման գործընթացին զուգահեռ, որպեսզի պահպանվեն բոլոր կողմերի իրավունքները և օրինական շահերը, մյուս կողմից կարևոր է մասնագիտացված դատարանի ստեղծման տեսլականը, քանի որ պրակտիկայում խնդիրների մի մասը կապվում են նաև մասնագիտական հատուկ գիտելիքների իմացության ոչ բավարար մակարդակով և քաղաքացիական և վարչական դատարանների միջև առկա լիազորությունների մասով վեճով։ </w:t>
      </w:r>
    </w:p>
    <w:p w14:paraId="73827A68" w14:textId="0B73AE38" w:rsidR="00CA3016" w:rsidRPr="00A77E64" w:rsidRDefault="009743CE" w:rsidP="004A04B9">
      <w:pPr>
        <w:pStyle w:val="Heading2"/>
        <w:numPr>
          <w:ilvl w:val="2"/>
          <w:numId w:val="23"/>
        </w:numPr>
        <w:rPr>
          <w:rFonts w:ascii="GHEA Grapalat" w:eastAsia="Calibri" w:hAnsi="GHEA Grapalat"/>
          <w:b/>
          <w:bCs/>
          <w:color w:val="7030A0"/>
          <w:sz w:val="20"/>
          <w:szCs w:val="20"/>
          <w:lang w:val="hy-AM"/>
        </w:rPr>
      </w:pPr>
      <w:bookmarkStart w:id="5" w:name="_Toc96025850"/>
      <w:r w:rsidRPr="00A77E64">
        <w:rPr>
          <w:rFonts w:ascii="GHEA Grapalat" w:eastAsia="Calibri" w:hAnsi="GHEA Grapalat" w:cs="Sylfaen"/>
          <w:b/>
          <w:bCs/>
          <w:color w:val="7030A0"/>
          <w:sz w:val="20"/>
          <w:szCs w:val="20"/>
          <w:lang w:val="hy-AM"/>
        </w:rPr>
        <w:t>ՀԱՄԱԴՐԵԼԻ</w:t>
      </w:r>
      <w:r w:rsidRPr="00A77E64">
        <w:rPr>
          <w:rFonts w:ascii="GHEA Grapalat" w:eastAsia="Calibri" w:hAnsi="GHEA Grapalat"/>
          <w:b/>
          <w:bCs/>
          <w:color w:val="7030A0"/>
          <w:sz w:val="18"/>
          <w:szCs w:val="20"/>
          <w:lang w:val="hy-AM"/>
        </w:rPr>
        <w:t xml:space="preserve"> </w:t>
      </w:r>
      <w:r w:rsidRPr="00A77E64">
        <w:rPr>
          <w:rFonts w:ascii="GHEA Grapalat" w:eastAsia="Calibri" w:hAnsi="GHEA Grapalat" w:cs="Sylfaen"/>
          <w:b/>
          <w:bCs/>
          <w:color w:val="7030A0"/>
          <w:sz w:val="20"/>
          <w:szCs w:val="20"/>
          <w:lang w:val="hy-AM"/>
        </w:rPr>
        <w:t>ԼԱՎԱԳՈՒՅՆ</w:t>
      </w:r>
      <w:r w:rsidRPr="00A77E64">
        <w:rPr>
          <w:rFonts w:ascii="GHEA Grapalat" w:eastAsia="Calibri" w:hAnsi="GHEA Grapalat"/>
          <w:b/>
          <w:bCs/>
          <w:color w:val="7030A0"/>
          <w:sz w:val="18"/>
          <w:szCs w:val="20"/>
          <w:lang w:val="hy-AM"/>
        </w:rPr>
        <w:t xml:space="preserve"> </w:t>
      </w:r>
      <w:r w:rsidRPr="00A77E64">
        <w:rPr>
          <w:rFonts w:ascii="GHEA Grapalat" w:eastAsia="Calibri" w:hAnsi="GHEA Grapalat" w:cs="Sylfaen"/>
          <w:b/>
          <w:bCs/>
          <w:color w:val="7030A0"/>
          <w:sz w:val="20"/>
          <w:szCs w:val="20"/>
          <w:lang w:val="hy-AM"/>
        </w:rPr>
        <w:t>ՄԻՋԱԶԳԱՅԻՆ</w:t>
      </w:r>
      <w:r w:rsidRPr="00A77E64">
        <w:rPr>
          <w:rFonts w:ascii="GHEA Grapalat" w:eastAsia="Calibri" w:hAnsi="GHEA Grapalat"/>
          <w:b/>
          <w:bCs/>
          <w:color w:val="7030A0"/>
          <w:sz w:val="18"/>
          <w:szCs w:val="20"/>
          <w:lang w:val="hy-AM"/>
        </w:rPr>
        <w:t xml:space="preserve"> </w:t>
      </w:r>
      <w:r w:rsidRPr="00A77E64">
        <w:rPr>
          <w:rFonts w:ascii="GHEA Grapalat" w:eastAsia="Calibri" w:hAnsi="GHEA Grapalat" w:cs="Sylfaen"/>
          <w:b/>
          <w:bCs/>
          <w:color w:val="7030A0"/>
          <w:sz w:val="20"/>
          <w:szCs w:val="20"/>
          <w:lang w:val="hy-AM"/>
        </w:rPr>
        <w:t>ՓՈՐՁԻ</w:t>
      </w:r>
      <w:r w:rsidRPr="00A77E64">
        <w:rPr>
          <w:rFonts w:ascii="GHEA Grapalat" w:eastAsia="Calibri" w:hAnsi="GHEA Grapalat"/>
          <w:b/>
          <w:bCs/>
          <w:color w:val="7030A0"/>
          <w:sz w:val="18"/>
          <w:szCs w:val="20"/>
          <w:lang w:val="hy-AM"/>
        </w:rPr>
        <w:t xml:space="preserve"> </w:t>
      </w:r>
      <w:r w:rsidRPr="00A77E64">
        <w:rPr>
          <w:rFonts w:ascii="GHEA Grapalat" w:eastAsia="Calibri" w:hAnsi="GHEA Grapalat" w:cs="Sylfaen"/>
          <w:b/>
          <w:bCs/>
          <w:color w:val="7030A0"/>
          <w:sz w:val="20"/>
          <w:szCs w:val="20"/>
          <w:lang w:val="hy-AM"/>
        </w:rPr>
        <w:t>ՎԵՐԼՈՒԾՈՒԹՅՈՒՆ</w:t>
      </w:r>
      <w:bookmarkEnd w:id="5"/>
    </w:p>
    <w:p w14:paraId="0DE0A9FB" w14:textId="77777777" w:rsidR="004A04B9" w:rsidRPr="00A77E64" w:rsidRDefault="004A04B9" w:rsidP="004A04B9">
      <w:pPr>
        <w:rPr>
          <w:rFonts w:ascii="GHEA Grapalat" w:hAnsi="GHEA Grapalat"/>
          <w:lang w:val="hy-AM"/>
        </w:rPr>
      </w:pPr>
    </w:p>
    <w:p w14:paraId="5BFA8ECC" w14:textId="44151ACC" w:rsidR="00836743" w:rsidRPr="00A77E64" w:rsidRDefault="00DA27CE" w:rsidP="008F5A0D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Սույն գլխում ուսումնասիրության առարկա է դարձվել Ավստրիայի, Բրազիլիայի, Հարավային Աֆրիկայի, </w:t>
      </w:r>
      <w:r w:rsidR="004B304D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Կանադայի, 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Կոլումբիայի</w:t>
      </w:r>
      <w:r w:rsidR="004B304D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, Լեհաստանի</w:t>
      </w:r>
      <w:r w:rsidR="0083386C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Լատվիայի </w:t>
      </w:r>
      <w:r w:rsidR="0083386C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և Սերբիայի 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փորձը՝ համադրելով այն ՀՀ իրավական համակարգի հետ։ </w:t>
      </w:r>
    </w:p>
    <w:p w14:paraId="7C9C49F0" w14:textId="63A2F53E" w:rsidR="00DA27CE" w:rsidRPr="00A77E64" w:rsidRDefault="00DA27CE" w:rsidP="008F5A0D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Ավստրալիայի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օրենսդրության համաձայն հողօգտագործման իրավունքը ուղղակիորեն բխում է ընդերքօգտագործման իրավունքից։ Մասնավոր հողատարածք մուտք գործելուց առաջ գործող կարգավորումների շրջանակում պարտադիր է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հողի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սեփականատիրոջ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հետ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գործընթացի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համաձայնեցման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նախնական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տարբերակ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համապատասխան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համաձայնագրի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ստորագրումով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որով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պետք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նախատեսվեն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նաև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փոխհատուցման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ընթացակարգերը։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Փոխհատուցման ինստիտուտը միտված է ոչ թե հողօգտագործման դիմաց վճար հատկացնելուն, այլ դիտարկվում է որպես պատճառված վնասի նախնական հատուցման միջոց։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Միևնույն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ժամանակ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առկա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Կայուն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կարգավորման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վերաբերյալ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իրավական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ակտ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որը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նախատեսում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պետական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մարմինների՝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ոլորտային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լիազորությունները՝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զերծ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մնալու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համար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անհարկի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չարաշահումներից</w:t>
      </w:r>
      <w:r w:rsidR="006E6D33">
        <w:rPr>
          <w:rFonts w:ascii="GHEA Grapalat" w:hAnsi="GHEA Grapalat"/>
          <w:color w:val="000000" w:themeColor="text1"/>
          <w:sz w:val="20"/>
          <w:szCs w:val="20"/>
          <w:lang w:val="hy-AM"/>
        </w:rPr>
        <w:t>՝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միևնույն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ժամանակ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ապահովելով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վերահսկողական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գործիքակազմը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իսկ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վեճերը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լուծվում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են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մասնագիտացված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դատարանի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կողմից։ Այն դեպքում, երբ հողօգտագործումը հնարավոր է հանգեցնի բացասական ազդեցության հանրային շահի վրա, կամ կան իրավունքի տրամադրումը մերժելու հիմնավոր պատճառներ, դատարանը վեճը լուծում է հօգուտ հողի սեփականատիրոջ</w:t>
      </w:r>
      <w:r w:rsidRPr="00A77E64">
        <w:rPr>
          <w:rStyle w:val="FootnoteReference"/>
          <w:rFonts w:ascii="GHEA Grapalat" w:hAnsi="GHEA Grapalat" w:cs="Sylfaen"/>
          <w:color w:val="000000" w:themeColor="text1"/>
          <w:sz w:val="20"/>
          <w:szCs w:val="20"/>
          <w:lang w:val="hy-AM"/>
        </w:rPr>
        <w:footnoteReference w:id="6"/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։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</w:p>
    <w:p w14:paraId="7363F9B7" w14:textId="77777777" w:rsidR="00DA27CE" w:rsidRPr="00A77E64" w:rsidRDefault="00DA27CE" w:rsidP="00DA27CE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Բրազիլիայի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օրենսդրության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համաձայն՝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ընդերքօգտագործման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իրավունքը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չի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ենթադրում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երրորդ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անձանց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պատկանող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հողատարածքների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նկատմամբ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որևէ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իրավունքի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տրամադրում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ընդերքօգտագործման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գործունեությունն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իրականացնելու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համար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: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Ինչպես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ընդերքօգտագործման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իրավունքն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պաշտպանվում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օրենսդրությամբ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այնպես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էլ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Բրազիլիայի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Սահմանադրությունը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պաշտպանում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սեփականության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իրավունքը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:</w:t>
      </w:r>
    </w:p>
    <w:p w14:paraId="5D6FC728" w14:textId="77777777" w:rsidR="00DA27CE" w:rsidRPr="00A77E64" w:rsidRDefault="00DA27CE" w:rsidP="00DA27CE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Այնուամենայնիվ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Բրազիլիայի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կառավարությունը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հանքարդյունաբերությունը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հռչակել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որպես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հանրային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հետաքրքրություն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ներկայացնող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գործունեության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ոլորտ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ինչի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արդյունքում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ընդերքօգտագործողները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կարող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են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ստանալ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որոշակի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առավելություններ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երրորդ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անձանց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հողատարածքների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նկատմամբ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:</w:t>
      </w:r>
    </w:p>
    <w:p w14:paraId="2438361B" w14:textId="037F24D3" w:rsidR="00DA27CE" w:rsidRPr="00A77E64" w:rsidRDefault="00DA27CE" w:rsidP="00DA27CE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Իսկ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եթե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անշարժ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գույքի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սեփականատերը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տիրապետողը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խոչընդոտում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ընդերքօգտագործողին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գործունեությունը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այդ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տարածքում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իրականացնելու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համար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միջոցների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կիրառման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նախապայման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գույքի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սեփականատիրոջն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արդար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հատուցման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տրամադրումը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որից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հետո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պետության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կողմից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նշված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տարածքը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կարող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ճանաչվել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գերակա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հանրային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շահ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օտարվել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կամ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դրա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նկատմամբ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կարող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սահմանվել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հարկադիր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սերվիտուտի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իրավունք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հօգուտ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ընդերքօգտագործողի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: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Ընդ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որում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հողատարածքի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սեփականատիրոջ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ընդերքօգտագործողի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միջև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վեճ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առաջանալու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դեպքում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այն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գործնականում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բավականին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արագ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հեշտ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լուծվում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դատական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կարգով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:</w:t>
      </w:r>
    </w:p>
    <w:p w14:paraId="3FB471AB" w14:textId="59A2113A" w:rsidR="004B304D" w:rsidRPr="00417908" w:rsidRDefault="004B304D" w:rsidP="00DA27CE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lastRenderedPageBreak/>
        <w:t xml:space="preserve">Հարավային Աֆրիկայի օրենսդրության համաձայն ընդերքօգտագործողներին տրամադրվում է միայն օգտագործման իրավունք, արդյունահանված հանածոների նկատմամբ՝ սեփականության։ 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>Այստեղ ընդերքօգտագործման իրավունքը սահմանափակ գույքային իրավունք է հողի նկատմամբ, որը ընդերքօգտագործողին տալիս է հողատարածք մուտք գործելու, կառուցապատման, աշխատակիցներ բերելու, ընդերքօգտագործման և հետազոտական աշխատանքներ կատարելու իրավունք։ Այս դեպքում նույնպես ընդերքօգտագործման պարտադիր նախապայման է հողի սեփականատիրոջ ծանուցումը և բանակցություններ վարելը։ Այն պայմաններում, երբ հողամասի տերը առանց ողջամիտ պահանջների թույլ չի տալիս հողօգտագործում իրականացնել կամ վերջինիս հետ հնարավոր չէ կապ հաստատել, ապա ընդերքօգտագործողի դիմումով համապատասխան գերատեսչությունը կոչ է անում կողմերին կնքել համապատասխան համաձայնագիրը, անհամաձայնության դեպքում վեճը լուծվում է արբիտրաժով կամ դատական կարգով։ Յուրաքանչյուր դեպքում Գերագույն դատարանի կողմից հաստատվել է հողօգտագործման նախապատվության իրավունք և հողի սեփականատերը չի կարող մերժել հողի օգտագործումը՝ պայմանով, որ օգտագործումը պետք է հիմնված լինի նվազագույն վնասի սկզբունքի հիման վրա</w:t>
      </w:r>
      <w:r w:rsidRPr="00417908">
        <w:rPr>
          <w:rStyle w:val="FootnoteReference"/>
          <w:rFonts w:ascii="GHEA Grapalat" w:hAnsi="GHEA Grapalat"/>
          <w:color w:val="000000" w:themeColor="text1"/>
          <w:sz w:val="20"/>
          <w:szCs w:val="20"/>
          <w:lang w:val="hy-AM"/>
        </w:rPr>
        <w:footnoteReference w:id="7"/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>։</w:t>
      </w:r>
    </w:p>
    <w:p w14:paraId="3FCEDE63" w14:textId="08BF9512" w:rsidR="004B304D" w:rsidRPr="00417908" w:rsidRDefault="004B304D" w:rsidP="004B304D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Կանադական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հանքարդյունաբերության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օրենսդրության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համաձայն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որպես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կանոն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ընդերքօգտագործման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թույլտվություն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իրավունք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ունեցող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սուբյեկտին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ինքնաբերաբար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իրավունք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տրվում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մուտք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գործել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այն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տարածք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որտեղ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նա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ստացել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պետության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կողմից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գործունեության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ծավալման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թույլտվություն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: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Սակայն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նահանգներ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որտեղ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հարակից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իրավունքները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ինքնաբերաբար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կերպով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չի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տրվում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որպես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ընդերքօգտագործման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իրավունքի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մի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մաս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: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Տեղական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օրենսդրության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պահանջներից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ելնելով՝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նշված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տարածքներում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հողօգտագործման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աշխատանքներ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սուբյեկտների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կողմից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կարող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են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իրականացվել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միայն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համապատասխան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հողօգտագործման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թույլտվություն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ստանալուց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հետո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: </w:t>
      </w:r>
    </w:p>
    <w:p w14:paraId="7E3649A9" w14:textId="77777777" w:rsidR="004B304D" w:rsidRPr="00417908" w:rsidRDefault="004B304D" w:rsidP="004B304D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Կանադայում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հանքարդյունաբերությունը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հիմնականում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տեղի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ունենում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բնակավայրերի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սահմաններից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դուրս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ուստի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ընդերքօգտագործողները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սովորաբար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առնչություն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չեն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ունենում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մասնավոր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սեփականատերերի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հետ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: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Այն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իրավիճակներում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երբ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ընդերքօգտագործողը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ցանկանում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մուտք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գործել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մասնավոր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սուբյեկտի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տարածք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նրանց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իրավահարաբերությունները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կարգավորվում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են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գործող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ընդհանուր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իրավունքի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(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իսկ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Քվեբեկում՝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քաղաքացիական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օրենսդրություն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)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պահանջների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համաձայն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>:</w:t>
      </w:r>
    </w:p>
    <w:p w14:paraId="03B4E676" w14:textId="135ED91A" w:rsidR="004B304D" w:rsidRPr="00417908" w:rsidRDefault="004B304D" w:rsidP="004B304D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Մասնավորապես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Կանադայի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«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Հանքարդյունաբերության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մասին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»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օրենքի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համաձայն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ընդերքօգտագործողը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չի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կարող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սկսել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հանքարդյունաբերական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գործունեությունը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քանի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դեռ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ձեռք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չի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բերել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մասնավոր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տարածքի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սեփականատիրոջ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հետ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նրա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տարածքի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օգտագործման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վերաբերյալ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համաձայնություն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: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Նշված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համաձայնությունը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պետք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պարունակի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հողամասի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օգտագործման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համար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տրամադրվող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վճարի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չափի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վերաբերյալ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պայմաններ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ինչպես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նաև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սահմանի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վնասի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պատճառման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դեպքում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փոխհատուցման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կարգը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հողատարածքի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օգտագործման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ժամկետը։</w:t>
      </w:r>
    </w:p>
    <w:p w14:paraId="4DF9FF54" w14:textId="21AD9BD1" w:rsidR="004B304D" w:rsidRPr="00A77E64" w:rsidRDefault="004B304D" w:rsidP="004B304D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Ինչ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վերաբերում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ընդերքօգտագործման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նպատակով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երրորդ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անձանց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սեփականության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իրավունքով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պատկանող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տարածքների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հարկադիր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օտարմանը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ապա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հարկ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նշել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որ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կանադական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օրենսդրությունը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(Mining Right of Way Act)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սկզբանե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թույլատրում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նշված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նպատակով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սեփականության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իրավունքի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հարկադիր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օտարում։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Օրենսդրության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համաձայն՝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նման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դեպքերում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ընդերքօգտագործողը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պարտավոր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դիմել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պետությանը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ներկայացնել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հիմնավորումներ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երրորդ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անձին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պատկանող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հողամասի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օգտագործման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անհրաժեշտության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վերաբերյալ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այդ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անձի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հետ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համաձայնության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չգալու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ապացույցներ։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Հողատարածքի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հարկադիր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օտարումից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հետո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սեփականատիրոջը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փոխհատուցելու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պարտավորությունը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կրում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ընդերքօգտագործողը</w:t>
      </w:r>
      <w:r w:rsidR="00650459" w:rsidRPr="00417908">
        <w:rPr>
          <w:rStyle w:val="FootnoteReference"/>
          <w:rFonts w:ascii="GHEA Grapalat" w:hAnsi="GHEA Grapalat" w:cs="Sylfaen"/>
          <w:color w:val="000000" w:themeColor="text1"/>
          <w:sz w:val="20"/>
          <w:szCs w:val="20"/>
          <w:lang w:val="hy-AM"/>
        </w:rPr>
        <w:footnoteReference w:id="8"/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։</w:t>
      </w:r>
    </w:p>
    <w:p w14:paraId="740B3821" w14:textId="5FFBDFA4" w:rsidR="00DA27CE" w:rsidRPr="00A77E64" w:rsidRDefault="004B304D" w:rsidP="008F5A0D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lastRenderedPageBreak/>
        <w:t xml:space="preserve">Կոլումբիայում ընդերքօգտագործումը հիմնվում է կոնցեսիոն պայմանագրի վրա, որի համաձայն մասնավոր սուբյեկտին տրամադրվում է անձնական ժամանակավոր իրավունք շահագործելու համապատասխան հողամասը, այստեղ սահմանվում է հատուցելի սերվիտուտ և ընդերքօգտագործողը պարտավորվում է համաձայնել սեփականատիրոջ առաջարկին։ </w:t>
      </w:r>
      <w:r w:rsidR="00650459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Սերվիտուտը ենթադրում է կառուցապատման, ընդերքօգտագործման, շինարարության, սարքավորումների տեղադրման, տարանցման և փոխադրումների իրավունք</w:t>
      </w:r>
      <w:r w:rsidR="00650459" w:rsidRPr="00A77E64">
        <w:rPr>
          <w:rStyle w:val="FootnoteReference"/>
          <w:rFonts w:ascii="GHEA Grapalat" w:hAnsi="GHEA Grapalat"/>
          <w:color w:val="000000" w:themeColor="text1"/>
          <w:sz w:val="20"/>
          <w:szCs w:val="20"/>
          <w:lang w:val="hy-AM"/>
        </w:rPr>
        <w:footnoteReference w:id="9"/>
      </w:r>
      <w:r w:rsidR="00650459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։ </w:t>
      </w:r>
    </w:p>
    <w:p w14:paraId="5A0A2332" w14:textId="193B8CA9" w:rsidR="00650459" w:rsidRPr="00A77E64" w:rsidRDefault="00650459" w:rsidP="008F5A0D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տարբերություն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այլ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երկրների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Լեհաստանի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օրենսդրության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համաձայն՝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հանքարդյունահանում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երկրաբանական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ուսումնասիրություն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կատարելու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իրավունք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ստացած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անձը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ինքնաբերաբար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ձեռք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բերում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նաև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այն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հողամասի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օգտագործման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իրավունք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որտեղ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նա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պետք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իրականացնի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վերոնշյալ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գործողությունը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: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Հանքարդյունահանում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երկրաբանական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ուսումնասիրություն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կատարելու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իրավունք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տրամադրելու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մասին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որոշման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մեջ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նշվում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այն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տարածքը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(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տարածքի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երկրաբանական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տվյալները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),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որտեղ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պետք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կատարվեն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նշված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աշխատանքները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: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Նախքան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նշված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որոշման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կայացումը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ընդերքօգտագործողը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պարտավոր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համապատասխան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անշարժ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գույքի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սեփականատիրոջ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հետ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ձեռք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բերել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հողամասի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օտարման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ժամանակավոր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օգտագործման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վերաբերյալ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պայմանավորվածություն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ինչից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հետո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միայն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նրան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կարող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տրամադրվել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հանքարդյունահանում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երկրաբանական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ուսումնասիրություն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կատարելու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իրավունք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: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Այդպիսով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լեհական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օրենսդրությունը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բացառում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մի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իրավիճակ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երբ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նշված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իրավունքները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(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թույլտվությունները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)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տրամադրվեն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երրորդ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անձանց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իրավունքներով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ծանրաբեռնված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հողատարածքների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նկատմամբ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>:</w:t>
      </w:r>
    </w:p>
    <w:p w14:paraId="6106D4DA" w14:textId="2EEC914F" w:rsidR="00650459" w:rsidRDefault="00650459" w:rsidP="00650459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Լատվիայի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փորձը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ցույց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տալիս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որ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ընդերքօգտագործողը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նախ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պետք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ձեռք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բերի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հողի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սեփականության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օգտագործման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իրավունք: </w:t>
      </w:r>
    </w:p>
    <w:p w14:paraId="2BFB3B79" w14:textId="77777777" w:rsidR="00417908" w:rsidRPr="00417908" w:rsidRDefault="00417908" w:rsidP="00417908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>Հողամասի սեփականատերն իրավունք ունի օգտակար հանածոներ արդյունահանողից պահանջել փոխհատուցում հանքավայրերի օգտագործման ընթացքում իր կրած վնասների համար: Փոխհատուցման չափը պետք է գրավոր համաձայնեցվի։</w:t>
      </w:r>
    </w:p>
    <w:p w14:paraId="279E431D" w14:textId="2DD11B34" w:rsidR="00417908" w:rsidRPr="00417908" w:rsidRDefault="00417908" w:rsidP="00417908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>Նախատեսված փոխհատուցման չափը, որը ընդերք մշակողը վճարում է հողի սեփականատիրոջը, կազմում է տարեկան 30 եվրո մեկ հեկտարի համար և արդյունահանվող հանքաքարի շուկայական արժեքի 0,15%-ից մինչև 2%-ը։</w:t>
      </w:r>
      <w:r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Հ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ողի սեփականատիրոջ հետ համաձայնություն չի պահանջվում, եթե ընդերքն օգտագործվում է հասարակության և պետության շահերից ելնելով։ </w:t>
      </w:r>
    </w:p>
    <w:p w14:paraId="448F47BC" w14:textId="7A4C5184" w:rsidR="00417908" w:rsidRPr="00672FA3" w:rsidRDefault="00417908" w:rsidP="00417908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>Ընդերքի օգտագործման լիցենզիա կպահանջվի, եթե նախատեսվում է արդյունահանել ավելի քան 10000 խմ օգտակար հանածոներ նախկին 20000 խմ-ի փոխարեն։</w:t>
      </w:r>
      <w:r w:rsidR="00016F16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>Ընդերքի հետախուզումը և գունավոր մետաղների հանքավայրերի արդյունահանումը Լատվիայի ազգային զարգացման ծրագրի կետերից մեկն է:</w:t>
      </w:r>
    </w:p>
    <w:p w14:paraId="253B18A6" w14:textId="0F197E15" w:rsidR="00650459" w:rsidRPr="00A77E64" w:rsidRDefault="00650459" w:rsidP="00650459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Սեփականության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երեք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տարբերակ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կա՝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հողը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պատկանում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անհատին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պետությանը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համայնքին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: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Պետական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համայնքային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սեփականության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հողի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օգտագործման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իրավունքը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ընդերքօգտագործման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հետ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տրվում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մրցութային</w:t>
      </w:r>
      <w:r w:rsidR="0041790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կարգով։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Հստակ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սահմանվում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են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նաև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մրցույթի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անցկացման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ընթացակարգը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այն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տեղեկատվությունը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որը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այս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փուլում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պետք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ներկայացվի։</w:t>
      </w:r>
    </w:p>
    <w:p w14:paraId="47182A65" w14:textId="77777777" w:rsidR="00650459" w:rsidRPr="00A77E64" w:rsidRDefault="00650459" w:rsidP="00650459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Հողօգտագործման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իրավունքի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ժամկետները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համապատասխանում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են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ընդերքօգտագործման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իրավունքի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ժամկետներին։</w:t>
      </w:r>
    </w:p>
    <w:p w14:paraId="051F4521" w14:textId="5BEA2FE8" w:rsidR="00650459" w:rsidRPr="00A77E64" w:rsidRDefault="00650459" w:rsidP="00650459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Ընդերքօգտագործողը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մինչև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աշխատանքի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մեկնարկը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պայմանագիր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կնքում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հողի սեփականատիրոջ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հետ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կազմում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աշխատանքային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ծրագիր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ծանուցում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լիազոր մարմնին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նախատեսված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աշխատանքների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ժամկետների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մասին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: </w:t>
      </w:r>
    </w:p>
    <w:p w14:paraId="1C8FEF89" w14:textId="04B24C10" w:rsidR="00650459" w:rsidRPr="00A77E64" w:rsidRDefault="00650459" w:rsidP="00650459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lastRenderedPageBreak/>
        <w:t>Ընդերքօգտագործման թույլտվություն ստանալու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դիմումին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կցվում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է, ի թիվս մյուս փաստաթղթերի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հողամասի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սեփականատիրոջ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հետ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կնքված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պայմանագրի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պատճենը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։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Այդ համաձայնագրի բացակայությունը հանգեցնում է մերժման</w:t>
      </w:r>
      <w:r w:rsidRPr="00A77E64">
        <w:rPr>
          <w:rStyle w:val="FootnoteReference"/>
          <w:rFonts w:ascii="GHEA Grapalat" w:hAnsi="GHEA Grapalat" w:cs="Sylfaen"/>
          <w:color w:val="000000" w:themeColor="text1"/>
          <w:sz w:val="20"/>
          <w:szCs w:val="20"/>
          <w:lang w:val="hy-AM"/>
        </w:rPr>
        <w:footnoteReference w:id="10"/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:</w:t>
      </w:r>
    </w:p>
    <w:p w14:paraId="471CB80F" w14:textId="59B70E1A" w:rsidR="0083386C" w:rsidRPr="00A77E64" w:rsidRDefault="0083386C" w:rsidP="00650459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Սերբիայի փորձը հնարավորություն է տալիս սահմանել սերվիտուտ հողի նկատմամբ, միևնույն ժամանակ պարտադիր նախնական երաշխիքով՝ ընթացքում առաջացող հնարավոր վնասների փոխհատուցման ապահովման համար։</w:t>
      </w:r>
    </w:p>
    <w:p w14:paraId="561B5299" w14:textId="508B9921" w:rsidR="00357527" w:rsidRPr="00A77E64" w:rsidRDefault="00650459" w:rsidP="008F5A0D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Փաստորեն ը</w:t>
      </w:r>
      <w:r w:rsidR="00357527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նդերքօգտագործման ոլորտում հողային հարաբերությունների կարգավորման </w:t>
      </w:r>
      <w:r w:rsidR="00907366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շուրջ հիմնական երկու մոտեցում է առկա.</w:t>
      </w:r>
    </w:p>
    <w:p w14:paraId="2AB35929" w14:textId="0485F5FB" w:rsidR="00907366" w:rsidRPr="00A77E64" w:rsidRDefault="00907366" w:rsidP="000366A9">
      <w:pPr>
        <w:pStyle w:val="ListParagraph"/>
        <w:numPr>
          <w:ilvl w:val="0"/>
          <w:numId w:val="20"/>
        </w:numPr>
        <w:spacing w:after="120" w:line="276" w:lineRule="auto"/>
        <w:contextualSpacing w:val="0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Ը</w:t>
      </w:r>
      <w:r w:rsidR="00357527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նդերքօգտագործման </w:t>
      </w:r>
      <w:r w:rsidR="00B76487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և</w:t>
      </w:r>
      <w:r w:rsidR="00357527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հողի նկատմամբ իրավունքների անբաժանելիության սկզբունք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(ԱՄՆ, Ֆրանսիա)</w:t>
      </w:r>
      <w:r w:rsidR="007648D4">
        <w:rPr>
          <w:rFonts w:ascii="GHEA Grapalat" w:hAnsi="GHEA Grapalat"/>
          <w:color w:val="000000" w:themeColor="text1"/>
          <w:sz w:val="20"/>
          <w:szCs w:val="20"/>
          <w:lang w:val="hy-AM"/>
        </w:rPr>
        <w:t>:</w:t>
      </w:r>
    </w:p>
    <w:p w14:paraId="035BC79A" w14:textId="768B6CA1" w:rsidR="007648D4" w:rsidRDefault="007648D4" w:rsidP="000366A9">
      <w:pPr>
        <w:pStyle w:val="ListParagraph"/>
        <w:numPr>
          <w:ilvl w:val="0"/>
          <w:numId w:val="20"/>
        </w:numPr>
        <w:spacing w:after="120" w:line="276" w:lineRule="auto"/>
        <w:contextualSpacing w:val="0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Ը</w:t>
      </w:r>
      <w:r w:rsidR="00357527"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նդերքի</w:t>
      </w:r>
      <w:r w:rsidR="00357527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="00B76487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և</w:t>
      </w:r>
      <w:r w:rsidR="00357527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հողերի նկատմամբ առանձնացված իրավունքների սկզբունք: </w:t>
      </w:r>
    </w:p>
    <w:p w14:paraId="3AB238C5" w14:textId="548B4A20" w:rsidR="00357527" w:rsidRPr="007648D4" w:rsidRDefault="00357527" w:rsidP="007648D4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7648D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Երկրորդ մոտեցումը, որը ներկայումս գերակշռում է, հիմնված է ընդերքի </w:t>
      </w:r>
      <w:r w:rsidR="00D21E93" w:rsidRPr="007648D4">
        <w:rPr>
          <w:rFonts w:ascii="GHEA Grapalat" w:hAnsi="GHEA Grapalat"/>
          <w:color w:val="000000" w:themeColor="text1"/>
          <w:sz w:val="20"/>
          <w:szCs w:val="20"/>
          <w:lang w:val="hy-AM"/>
        </w:rPr>
        <w:t>և</w:t>
      </w:r>
      <w:r w:rsidRPr="007648D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հողամասերի նկատմամաբ իրավունքների տարանջատման վրա </w:t>
      </w:r>
      <w:r w:rsidR="00D21E93" w:rsidRPr="007648D4">
        <w:rPr>
          <w:rFonts w:ascii="GHEA Grapalat" w:hAnsi="GHEA Grapalat"/>
          <w:color w:val="000000" w:themeColor="text1"/>
          <w:sz w:val="20"/>
          <w:szCs w:val="20"/>
          <w:lang w:val="hy-AM"/>
        </w:rPr>
        <w:t>և</w:t>
      </w:r>
      <w:r w:rsidRPr="007648D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պայմանավորված է նրանով, որ հողի նկատմամբ իրավունքը չի ազդում ընդերքի նկատմամբ իրավունքի վրա: </w:t>
      </w:r>
      <w:r w:rsidR="00907366" w:rsidRPr="007648D4">
        <w:rPr>
          <w:rFonts w:ascii="GHEA Grapalat" w:hAnsi="GHEA Grapalat"/>
          <w:color w:val="000000" w:themeColor="text1"/>
          <w:sz w:val="20"/>
          <w:szCs w:val="20"/>
          <w:lang w:val="hy-AM"/>
        </w:rPr>
        <w:t>Ա</w:t>
      </w:r>
      <w:r w:rsidRPr="007648D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յս սկզբունքի կիրառումը հանգեցնում է մի շարք իրավական խնդիրների, որոնք կապված են ընդերքօգտագործողի </w:t>
      </w:r>
      <w:r w:rsidR="00FF6BEE" w:rsidRPr="007648D4">
        <w:rPr>
          <w:rFonts w:ascii="GHEA Grapalat" w:hAnsi="GHEA Grapalat"/>
          <w:color w:val="000000" w:themeColor="text1"/>
          <w:sz w:val="20"/>
          <w:szCs w:val="20"/>
          <w:lang w:val="hy-AM"/>
        </w:rPr>
        <w:t>և</w:t>
      </w:r>
      <w:r w:rsidRPr="007648D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հողամասի սեփականատերի </w:t>
      </w:r>
      <w:r w:rsidR="007648D4">
        <w:rPr>
          <w:rFonts w:ascii="GHEA Grapalat" w:hAnsi="GHEA Grapalat"/>
          <w:color w:val="000000" w:themeColor="text1"/>
          <w:sz w:val="20"/>
          <w:szCs w:val="20"/>
          <w:lang w:val="hy-AM"/>
        </w:rPr>
        <w:t>ի</w:t>
      </w:r>
      <w:r w:rsidRPr="007648D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րավունքների տարանջատման </w:t>
      </w:r>
      <w:r w:rsidR="00D21E93" w:rsidRPr="007648D4">
        <w:rPr>
          <w:rFonts w:ascii="GHEA Grapalat" w:hAnsi="GHEA Grapalat"/>
          <w:color w:val="000000" w:themeColor="text1"/>
          <w:sz w:val="20"/>
          <w:szCs w:val="20"/>
          <w:lang w:val="hy-AM"/>
        </w:rPr>
        <w:t>և</w:t>
      </w:r>
      <w:r w:rsidRPr="007648D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հավասարակշռման հետ։ Այս առումով տարբեր երկրներ </w:t>
      </w:r>
      <w:r w:rsidR="00907366" w:rsidRPr="007648D4">
        <w:rPr>
          <w:rFonts w:ascii="GHEA Grapalat" w:hAnsi="GHEA Grapalat"/>
          <w:color w:val="000000" w:themeColor="text1"/>
          <w:sz w:val="20"/>
          <w:szCs w:val="20"/>
          <w:lang w:val="hy-AM"/>
        </w:rPr>
        <w:t>ներդրել են տարբեր մեխանիզմներ</w:t>
      </w:r>
      <w:r w:rsidRPr="007648D4">
        <w:rPr>
          <w:rFonts w:ascii="GHEA Grapalat" w:hAnsi="GHEA Grapalat"/>
          <w:color w:val="000000" w:themeColor="text1"/>
          <w:sz w:val="20"/>
          <w:szCs w:val="20"/>
          <w:lang w:val="hy-AM"/>
        </w:rPr>
        <w:t>։</w:t>
      </w:r>
    </w:p>
    <w:p w14:paraId="3F39B982" w14:textId="1FCB376C" w:rsidR="0024349C" w:rsidRPr="00A77E64" w:rsidRDefault="002E5059" w:rsidP="008F5A0D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Վ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երոշարադրյալ միջազգային փորձի ուսումնասիրությունը թույլ է տալիս փաստել, որ հիմնական չափանիշը զարգացած պետություններում հանդիսանում է թե</w:t>
      </w:r>
      <w:r w:rsidR="007648D4">
        <w:rPr>
          <w:rFonts w:ascii="GHEA Grapalat" w:hAnsi="GHEA Grapalat"/>
          <w:color w:val="000000" w:themeColor="text1"/>
          <w:sz w:val="20"/>
          <w:szCs w:val="20"/>
          <w:lang w:val="hy-AM"/>
        </w:rPr>
        <w:t>՛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ընդերքօգտագործողի, և թե</w:t>
      </w:r>
      <w:r w:rsidR="007648D4">
        <w:rPr>
          <w:rFonts w:ascii="GHEA Grapalat" w:hAnsi="GHEA Grapalat"/>
          <w:color w:val="000000" w:themeColor="text1"/>
          <w:sz w:val="20"/>
          <w:szCs w:val="20"/>
          <w:lang w:val="hy-AM"/>
        </w:rPr>
        <w:t>՛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սեփականատիրոջ իրավունքների և օրինական շահերի զուգակցումը՝ անկախ այն ճանապարհից, որը ընտրվել է պետության կողմից։</w:t>
      </w:r>
    </w:p>
    <w:p w14:paraId="449F4DF6" w14:textId="2D51D765" w:rsidR="00650459" w:rsidRPr="00A77E64" w:rsidRDefault="00650459" w:rsidP="00C06E72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Այդուհանդերձ</w:t>
      </w:r>
      <w:r w:rsidR="007648D4">
        <w:rPr>
          <w:rFonts w:ascii="GHEA Grapalat" w:hAnsi="GHEA Grapalat"/>
          <w:color w:val="000000" w:themeColor="text1"/>
          <w:sz w:val="20"/>
          <w:szCs w:val="20"/>
          <w:lang w:val="hy-AM"/>
        </w:rPr>
        <w:t>,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միջազգային փորձի համակարգային վերլուծությունը </w:t>
      </w:r>
      <w:r w:rsidR="00560AD1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ցույց է տալիս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, որ բոլոր պետությունները հստակ տարբերակում են դրել պետությանը և համայնքին սեփականության իրավունքով  պատկանող հողերի օգտագործման և մասնավոր անձանց պատկանող հողերի օգտագործման իրավունքի տրամադրման կարգի մեջ՝ առաջին դեպքում նախատեսելով հողօգատգործման իրավունքի ինքնաշխատ տրամադրում ընդերքօգտագործման իրավունքի հետ</w:t>
      </w:r>
      <w:r w:rsidR="00560AD1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միաժամանակ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, մյուս դեպքում</w:t>
      </w:r>
      <w:r w:rsidR="00560AD1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՝ 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նախատեսելով առանձին ընթացակարգ։</w:t>
      </w:r>
    </w:p>
    <w:p w14:paraId="3651FB8F" w14:textId="07B96F20" w:rsidR="00650459" w:rsidRPr="00A77E64" w:rsidRDefault="00650459" w:rsidP="00C06E72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ՀՀ օրենսդրությունը</w:t>
      </w:r>
      <w:r w:rsidR="00560AD1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,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ընդերքը սահմանելով որպես պետության բացառիկ սեփականություն</w:t>
      </w:r>
      <w:r w:rsidR="00560AD1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,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այդուհանդերձ</w:t>
      </w:r>
      <w:r w:rsidR="007648D4">
        <w:rPr>
          <w:rFonts w:ascii="GHEA Grapalat" w:hAnsi="GHEA Grapalat"/>
          <w:color w:val="000000" w:themeColor="text1"/>
          <w:sz w:val="20"/>
          <w:szCs w:val="20"/>
          <w:lang w:val="hy-AM"/>
        </w:rPr>
        <w:t>,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սահմանադրական երաշխիք է տալիս անձի սեփականության իրավունքի պաշտպանությանը։ Հաշվի առնելով այդ հանգամանքը, քննարկված միջազգային չափանիշները, ինչպես նաև ընդերքօգտագործողի իրավունքները, քանի որ ընդերքօգատգործման իրավունքի տրամադրումը չի կարող լինել ինքնանպատակ և յուրաքանչյուր դեպքում քանի դեռ իրավունքի իրացման անհրաժեշտ պայմանները չեն ստեղծվել, անձի իրավունքը իրացված համարել հնարավոր չէ</w:t>
      </w:r>
      <w:r w:rsidR="007648D4">
        <w:rPr>
          <w:rFonts w:ascii="GHEA Grapalat" w:hAnsi="GHEA Grapalat"/>
          <w:color w:val="000000" w:themeColor="text1"/>
          <w:sz w:val="20"/>
          <w:szCs w:val="20"/>
          <w:lang w:val="hy-AM"/>
        </w:rPr>
        <w:t>՝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անհրաժեշտ է ընտրել այնպիսի կառուցակարգ, որը կերաշխավորի բոլոր կողմերի շահերը։</w:t>
      </w:r>
    </w:p>
    <w:p w14:paraId="54751965" w14:textId="14E183D9" w:rsidR="00650459" w:rsidRPr="00A77E64" w:rsidRDefault="00650459" w:rsidP="00650459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Վերոշարադրյալի </w:t>
      </w:r>
      <w:r w:rsidR="0083386C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և իրավական դաշտի վերլուծության շրջանակներում արված եզրահանգումների 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համատեքստում</w:t>
      </w:r>
      <w:r w:rsidR="0083386C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հաշվի առնելով նաև </w:t>
      </w:r>
      <w:r w:rsidR="00EC3D5B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հողամասի </w:t>
      </w:r>
      <w:r w:rsidR="0083386C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սեփականատիրոջ սեփականության իրավունքի երաշխավորման</w:t>
      </w:r>
      <w:r w:rsidR="00EC3D5B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՝</w:t>
      </w:r>
      <w:r w:rsidR="0083386C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պետության ստանձնած սահմանադրական երաշխիքը՝ 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առաջարկում ենք կատարել ներքոշարարդրյալ օրենսդրական փոփոխությունները։ </w:t>
      </w:r>
    </w:p>
    <w:p w14:paraId="699C07DB" w14:textId="2CFF8377" w:rsidR="005506AF" w:rsidRPr="00A77E64" w:rsidRDefault="005506AF" w:rsidP="00F33CD5">
      <w:pPr>
        <w:pStyle w:val="Heading2"/>
        <w:numPr>
          <w:ilvl w:val="2"/>
          <w:numId w:val="23"/>
        </w:numPr>
        <w:spacing w:after="120" w:line="276" w:lineRule="auto"/>
        <w:jc w:val="both"/>
        <w:rPr>
          <w:rFonts w:ascii="GHEA Grapalat" w:eastAsia="Calibri" w:hAnsi="GHEA Grapalat" w:cs="Sylfaen"/>
          <w:b/>
          <w:color w:val="7030A0"/>
          <w:sz w:val="20"/>
          <w:szCs w:val="20"/>
          <w:lang w:val="hy-AM"/>
        </w:rPr>
      </w:pPr>
      <w:bookmarkStart w:id="6" w:name="_Toc91590466"/>
      <w:bookmarkStart w:id="7" w:name="_Toc96025851"/>
      <w:r w:rsidRPr="00A77E64">
        <w:rPr>
          <w:rFonts w:ascii="GHEA Grapalat" w:eastAsia="Calibri" w:hAnsi="GHEA Grapalat" w:cs="Sylfaen"/>
          <w:b/>
          <w:color w:val="7030A0"/>
          <w:sz w:val="20"/>
          <w:szCs w:val="20"/>
          <w:lang w:val="hy-AM"/>
        </w:rPr>
        <w:lastRenderedPageBreak/>
        <w:t>Ա</w:t>
      </w:r>
      <w:r w:rsidR="009743CE" w:rsidRPr="00A77E64">
        <w:rPr>
          <w:rFonts w:ascii="GHEA Grapalat" w:eastAsia="Calibri" w:hAnsi="GHEA Grapalat" w:cs="Sylfaen"/>
          <w:b/>
          <w:color w:val="7030A0"/>
          <w:sz w:val="20"/>
          <w:szCs w:val="20"/>
          <w:lang w:val="hy-AM"/>
        </w:rPr>
        <w:t xml:space="preserve">ՆՀՐԱԺԵՇՏ ՄԻՋՈՑԱՌՈՒՄՆԵՐԸ ԵՎ ԴՐԱՆՑ </w:t>
      </w:r>
      <w:bookmarkEnd w:id="6"/>
      <w:r w:rsidR="009743CE" w:rsidRPr="00A77E64">
        <w:rPr>
          <w:rFonts w:ascii="GHEA Grapalat" w:eastAsia="Calibri" w:hAnsi="GHEA Grapalat" w:cs="Sylfaen"/>
          <w:b/>
          <w:color w:val="7030A0"/>
          <w:sz w:val="20"/>
          <w:szCs w:val="20"/>
          <w:lang w:val="hy-AM"/>
        </w:rPr>
        <w:t>ԻՐԱԳՈՐԾԵԼԻՈՒԹՅԱՆ ՈՒ ԱՐԴՅՈՒՆԱՎԵՏՈՒԹՅԱՆ ԳՆԱՀԱՏՈՒՄ</w:t>
      </w:r>
      <w:bookmarkEnd w:id="7"/>
    </w:p>
    <w:p w14:paraId="67910E31" w14:textId="42DA6CBB" w:rsidR="00226B26" w:rsidRPr="00A77E64" w:rsidRDefault="00226B26" w:rsidP="00C06E72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նհրաժեշտ ոլորտային միջոցառումները հանգում են հետևյալին.</w:t>
      </w:r>
    </w:p>
    <w:p w14:paraId="6BA98A34" w14:textId="5D732314" w:rsidR="00650459" w:rsidRPr="00A77E64" w:rsidRDefault="00650459" w:rsidP="00650459">
      <w:pPr>
        <w:pStyle w:val="ListParagraph"/>
        <w:numPr>
          <w:ilvl w:val="0"/>
          <w:numId w:val="28"/>
        </w:num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ՀՀ հողային օրենսգրքով սահմանել ընդերքօգտագործման իրավունքի շրջանակներում հողօգտագործման իրավունքի տրամադրման առանձին ընթացակարգ</w:t>
      </w:r>
      <w:r w:rsidR="00560AD1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, որի համաձայն.</w:t>
      </w:r>
    </w:p>
    <w:p w14:paraId="6227D364" w14:textId="05CF0496" w:rsidR="00650459" w:rsidRDefault="00560AD1" w:rsidP="00650459">
      <w:pPr>
        <w:pStyle w:val="ListParagraph"/>
        <w:numPr>
          <w:ilvl w:val="0"/>
          <w:numId w:val="28"/>
        </w:num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Ա</w:t>
      </w:r>
      <w:r w:rsidR="00650459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յն դեպքում, երբ հողը պետական սեփականություն է, հողօգտագործման իրավուքնը անձին տրվում է ինքնաշխատ կերպով՝ ընդերքօգտագործման իրավուքնի հետ միաժամանակ, իսկ հողամասի նպատակային նշանակության փոփոխության համար անհրաժեշտ փաստաթղթերը ներկայացվում են դիմումի հետ միասին և իրականացվում պարզեցված ընթացակարգով։</w:t>
      </w:r>
      <w:r w:rsidR="002C3806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Համայնքային սեփականություն հանդիսացող հողերի օգտագործման իրավունք տրամադրելու համար սահմանվում են հստակ ժամկետներ, որի շրջանակում համայնքը իր եզրակացությունն է ներկայացնում լիազոր մարմնին։ Լիազոր մարմինը ապահովում է բանակցային գործընթացը համայնք-ընդերքօգտագործող սուբյեկտային կազմում։</w:t>
      </w:r>
    </w:p>
    <w:p w14:paraId="2CE58FC0" w14:textId="77777777" w:rsidR="00650459" w:rsidRPr="00A77E64" w:rsidRDefault="00650459" w:rsidP="00650459">
      <w:pPr>
        <w:pStyle w:val="ListParagraph"/>
        <w:numPr>
          <w:ilvl w:val="0"/>
          <w:numId w:val="28"/>
        </w:num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ՀՀ հողային օրենսգրքով ընդերքօգտագործման ծրագրի իրականացման համար երրորդ անձանց անշարժ գույքի նկատմամբ ընդերքօգտագործման պայմանագրի կնքման պահից նախատեսել ընդերքօգտագործողի հատուցելի սերվիտուտի իրավունք՝ սահմանելով կառուցապատման, անհրաժեշտ աշխատանքների կատարման, տարանցման, նյութերի տեղափոխման և պահեստավորման և այլ իրավունքների տրամադրում, որոնք անհրաժեշտ են ծրագրի իրագործման համար՝ հողից բարեխիղճ օգտվելու սկզբունքի շրջանակներում։ </w:t>
      </w:r>
    </w:p>
    <w:p w14:paraId="7DC88C37" w14:textId="77777777" w:rsidR="00650459" w:rsidRPr="00A77E64" w:rsidRDefault="00650459" w:rsidP="00650459">
      <w:pPr>
        <w:pStyle w:val="ListParagraph"/>
        <w:numPr>
          <w:ilvl w:val="0"/>
          <w:numId w:val="28"/>
        </w:num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Սահմանել հատուցման չափի որոշման չափանիշներ՝ այն պատվիրակելով կողմերի նախնական բանակցության գործընթացին և համաձայնության ձեռք բերմանը, հակառակ դեպքում այն որոշվում է փորձաքննության միջոցով՝ հաշվի առնելով ինչպես շուկայական արժեքը, այնպես էլ հնարավոր վնասները, կորուստները, որակը, դիրքը և այլ անհրաժեշտ չափանիշներ։</w:t>
      </w:r>
    </w:p>
    <w:p w14:paraId="11B82786" w14:textId="77777777" w:rsidR="00650459" w:rsidRPr="00A77E64" w:rsidRDefault="00650459" w:rsidP="00650459">
      <w:pPr>
        <w:pStyle w:val="ListParagraph"/>
        <w:numPr>
          <w:ilvl w:val="0"/>
          <w:numId w:val="28"/>
        </w:num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Հատուցման համաձայնագրով համաձայնություն է ձեռք բերվում նաև հողամասի նպատակային նշանակության փոփոխության վերաբերյալ և հողի սեփականատերը պարտավորվում է սկսել նպատակային նշանակության փոփոխության գործընթացը։</w:t>
      </w:r>
    </w:p>
    <w:p w14:paraId="60D0F7CD" w14:textId="77777777" w:rsidR="00650459" w:rsidRPr="00A77E64" w:rsidRDefault="00650459" w:rsidP="00650459">
      <w:pPr>
        <w:pStyle w:val="ListParagraph"/>
        <w:numPr>
          <w:ilvl w:val="0"/>
          <w:numId w:val="28"/>
        </w:num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Եթե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սեփականատերը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խոչընդոտում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ընդերքօգտագործողին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գործունեությունը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այդ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տարածքում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իրականացնել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գույքի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սեփականատիրոջն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արդար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հատուցման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տրամադրում է իրականացվում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որից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հետո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պետության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կողմից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նշված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տարածքը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կարող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ճանաչվել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գերակա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հանրային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շահ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օտարվել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եթե սեփականատերը չի հիմնավորում, որ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հողօգտագործումը հնարավոր է հանգեցնի բացասական ազդեցության հանրային շահի վրա, կամ կան իրավունքի տրամադրումը մերժելու հիմնավոր այլ պատճառներ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:</w:t>
      </w:r>
    </w:p>
    <w:p w14:paraId="4BBF4F2F" w14:textId="77777777" w:rsidR="00650459" w:rsidRPr="00A77E64" w:rsidRDefault="00650459" w:rsidP="00650459">
      <w:pPr>
        <w:pStyle w:val="ListParagraph"/>
        <w:numPr>
          <w:ilvl w:val="0"/>
          <w:numId w:val="28"/>
        </w:num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Ընդերքօգտագործողի համար սահմանել նախնական տեսքի վերականգման, անհնարինության դեպքում՝ վնասների հատուցման ինստիտուտ։</w:t>
      </w:r>
    </w:p>
    <w:p w14:paraId="054DA481" w14:textId="77777777" w:rsidR="00650459" w:rsidRPr="00A77E64" w:rsidRDefault="00650459" w:rsidP="00650459">
      <w:pPr>
        <w:pStyle w:val="ListParagraph"/>
        <w:numPr>
          <w:ilvl w:val="0"/>
          <w:numId w:val="28"/>
        </w:num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Ընդերքօգտագործման իրավունքի փոխանցման հետ սահմանել հողօգտագործման իրավունքի ինքնաշխատ փոխանցում։ </w:t>
      </w:r>
    </w:p>
    <w:p w14:paraId="0EACA7F5" w14:textId="02621991" w:rsidR="00650459" w:rsidRPr="00A77E64" w:rsidRDefault="00650459" w:rsidP="00650459">
      <w:pPr>
        <w:pStyle w:val="ListParagraph"/>
        <w:numPr>
          <w:ilvl w:val="0"/>
          <w:numId w:val="28"/>
        </w:num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Հողօգտագործման պայմանների խախտումը նախատեսել զգուշացման, ապա՝ պայմանագրի լուծման հիմքերի շարքում։</w:t>
      </w:r>
    </w:p>
    <w:p w14:paraId="2D5C1DB9" w14:textId="77777777" w:rsidR="00560AD1" w:rsidRPr="00A77E64" w:rsidRDefault="00560AD1" w:rsidP="00560AD1">
      <w:pPr>
        <w:pStyle w:val="ListParagraph"/>
        <w:numPr>
          <w:ilvl w:val="0"/>
          <w:numId w:val="28"/>
        </w:numPr>
        <w:spacing w:after="120" w:line="276" w:lineRule="auto"/>
        <w:ind w:left="924" w:hanging="357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«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Շրջակա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միջավայրի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վրա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ազդեցության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գնահատման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փորձաքննության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մասին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»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ՀՀ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օրենքով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նախատեսված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հանրային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լսումներին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հողերի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սեփականատերերի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մասնակցության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մասին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պարտադիր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ծանուցման ընթացակարգի նախատեսում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,</w:t>
      </w:r>
    </w:p>
    <w:p w14:paraId="6B09D8BC" w14:textId="633CEFE3" w:rsidR="00C23C60" w:rsidRPr="00A77E64" w:rsidRDefault="00650459" w:rsidP="00560AD1">
      <w:pPr>
        <w:pStyle w:val="ListParagraph"/>
        <w:numPr>
          <w:ilvl w:val="0"/>
          <w:numId w:val="28"/>
        </w:numPr>
        <w:spacing w:after="120" w:line="276" w:lineRule="auto"/>
        <w:ind w:left="924" w:hanging="357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lastRenderedPageBreak/>
        <w:t>Հաշվի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առնելով մասնագիտացվածության բարձր մակարդակը և միջազգային փորձը՝ մասնագիտացված դատարանների ստեղծման անհրաժեշտություն և վեճերի լուծում այդ դատարանում, բացի այդ ներկայումս միանշանակ չէ թե սույն վեճերը ենթակա են լուծման քաղաքացիական</w:t>
      </w:r>
      <w:r w:rsidR="007648D4">
        <w:rPr>
          <w:rFonts w:ascii="GHEA Grapalat" w:hAnsi="GHEA Grapalat"/>
          <w:color w:val="000000" w:themeColor="text1"/>
          <w:sz w:val="20"/>
          <w:szCs w:val="20"/>
          <w:lang w:val="hy-AM"/>
        </w:rPr>
        <w:t>,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թե վարչական կարգով։</w:t>
      </w:r>
    </w:p>
    <w:p w14:paraId="40F930F8" w14:textId="77777777" w:rsidR="00650459" w:rsidRPr="00A77E64" w:rsidRDefault="00650459" w:rsidP="00650459">
      <w:pPr>
        <w:pStyle w:val="ListParagraph"/>
        <w:spacing w:after="120" w:line="276" w:lineRule="auto"/>
        <w:ind w:left="927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p w14:paraId="4867C5C3" w14:textId="52CD763D" w:rsidR="009743CE" w:rsidRPr="00A77E64" w:rsidRDefault="009743CE" w:rsidP="00F33CD5">
      <w:pPr>
        <w:pStyle w:val="Heading2"/>
        <w:numPr>
          <w:ilvl w:val="2"/>
          <w:numId w:val="23"/>
        </w:numPr>
        <w:spacing w:after="120" w:line="276" w:lineRule="auto"/>
        <w:jc w:val="both"/>
        <w:rPr>
          <w:rFonts w:ascii="GHEA Grapalat" w:eastAsia="Calibri" w:hAnsi="GHEA Grapalat" w:cs="Sylfaen"/>
          <w:b/>
          <w:color w:val="7030A0"/>
          <w:sz w:val="20"/>
          <w:szCs w:val="20"/>
          <w:lang w:val="hy-AM"/>
        </w:rPr>
      </w:pPr>
      <w:bookmarkStart w:id="8" w:name="_Toc96025852"/>
      <w:r w:rsidRPr="00A77E64">
        <w:rPr>
          <w:rFonts w:ascii="GHEA Grapalat" w:eastAsia="Calibri" w:hAnsi="GHEA Grapalat" w:cs="Sylfaen"/>
          <w:b/>
          <w:color w:val="7030A0"/>
          <w:sz w:val="20"/>
          <w:szCs w:val="20"/>
          <w:lang w:val="hy-AM"/>
        </w:rPr>
        <w:t>ՄԻՋՈՑԱՌՈՒՄՆԵՐԻ ԻՐԱԿԱՆԱՑՄԱՆ ՀԻՄՆԱԿԱՆ ԽՈՉԸՆԴՈՏՆԵՐԸ/ ՄԱՐՏԱՀՐԱՎԵՐՆԵՐԸ</w:t>
      </w:r>
      <w:bookmarkEnd w:id="8"/>
    </w:p>
    <w:p w14:paraId="2F3DE42B" w14:textId="5A9235C5" w:rsidR="00915C8E" w:rsidRPr="00A77E64" w:rsidRDefault="00915C8E" w:rsidP="000366A9">
      <w:pPr>
        <w:pStyle w:val="ListParagraph"/>
        <w:numPr>
          <w:ilvl w:val="0"/>
          <w:numId w:val="22"/>
        </w:numPr>
        <w:spacing w:after="120" w:line="276" w:lineRule="auto"/>
        <w:contextualSpacing w:val="0"/>
        <w:jc w:val="both"/>
        <w:rPr>
          <w:rFonts w:ascii="GHEA Grapalat" w:eastAsia="Calibri" w:hAnsi="GHEA Grapalat" w:cs="Sylfaen"/>
          <w:bCs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eastAsia="Calibri" w:hAnsi="GHEA Grapalat" w:cs="Sylfaen"/>
          <w:bCs/>
          <w:color w:val="000000" w:themeColor="text1"/>
          <w:sz w:val="20"/>
          <w:szCs w:val="20"/>
          <w:lang w:val="hy-AM"/>
        </w:rPr>
        <w:t>Պետական քաղաքականության հիմնաքարային փոփոխություն,</w:t>
      </w:r>
    </w:p>
    <w:p w14:paraId="3625B3BD" w14:textId="7F32AABB" w:rsidR="00915C8E" w:rsidRPr="00A77E64" w:rsidRDefault="00915C8E" w:rsidP="000366A9">
      <w:pPr>
        <w:pStyle w:val="ListParagraph"/>
        <w:numPr>
          <w:ilvl w:val="0"/>
          <w:numId w:val="22"/>
        </w:numPr>
        <w:spacing w:after="120" w:line="276" w:lineRule="auto"/>
        <w:contextualSpacing w:val="0"/>
        <w:jc w:val="both"/>
        <w:rPr>
          <w:rFonts w:ascii="GHEA Grapalat" w:eastAsia="Calibri" w:hAnsi="GHEA Grapalat" w:cs="Sylfaen"/>
          <w:bCs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eastAsia="Calibri" w:hAnsi="GHEA Grapalat" w:cs="Sylfaen"/>
          <w:bCs/>
          <w:color w:val="000000" w:themeColor="text1"/>
          <w:sz w:val="20"/>
          <w:szCs w:val="20"/>
          <w:lang w:val="hy-AM"/>
        </w:rPr>
        <w:t xml:space="preserve">Իրավական նոր մշակույթի ձևավորում, </w:t>
      </w:r>
    </w:p>
    <w:p w14:paraId="55CCC61D" w14:textId="4F5681DF" w:rsidR="00915C8E" w:rsidRPr="00A77E64" w:rsidRDefault="00915C8E" w:rsidP="000366A9">
      <w:pPr>
        <w:pStyle w:val="ListParagraph"/>
        <w:numPr>
          <w:ilvl w:val="0"/>
          <w:numId w:val="22"/>
        </w:numPr>
        <w:spacing w:after="120" w:line="276" w:lineRule="auto"/>
        <w:contextualSpacing w:val="0"/>
        <w:jc w:val="both"/>
        <w:rPr>
          <w:rFonts w:ascii="GHEA Grapalat" w:eastAsia="Calibri" w:hAnsi="GHEA Grapalat" w:cs="Sylfaen"/>
          <w:bCs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eastAsia="Calibri" w:hAnsi="GHEA Grapalat" w:cs="Sylfaen"/>
          <w:bCs/>
          <w:color w:val="000000" w:themeColor="text1"/>
          <w:sz w:val="20"/>
          <w:szCs w:val="20"/>
          <w:lang w:val="hy-AM"/>
        </w:rPr>
        <w:t>Մասնավոր սեփականության դեպքում սեփականատերերի հետ նախնական համաձայնության ձեռքբերման ընթացքում առաջացող խոչընդոտներ,</w:t>
      </w:r>
    </w:p>
    <w:p w14:paraId="44C1187C" w14:textId="77777777" w:rsidR="00650459" w:rsidRPr="00A77E64" w:rsidRDefault="00650459" w:rsidP="00650459">
      <w:pPr>
        <w:pStyle w:val="ListParagraph"/>
        <w:spacing w:after="120" w:line="276" w:lineRule="auto"/>
        <w:ind w:left="927"/>
        <w:contextualSpacing w:val="0"/>
        <w:jc w:val="both"/>
        <w:rPr>
          <w:rFonts w:ascii="GHEA Grapalat" w:eastAsia="Calibri" w:hAnsi="GHEA Grapalat" w:cs="Sylfaen"/>
          <w:bCs/>
          <w:color w:val="000000" w:themeColor="text1"/>
          <w:sz w:val="20"/>
          <w:szCs w:val="20"/>
          <w:lang w:val="hy-AM"/>
        </w:rPr>
      </w:pPr>
    </w:p>
    <w:p w14:paraId="261650B8" w14:textId="47B1C466" w:rsidR="009743CE" w:rsidRPr="00A77E64" w:rsidRDefault="009743CE" w:rsidP="00C06E72">
      <w:pPr>
        <w:pStyle w:val="Heading2"/>
        <w:numPr>
          <w:ilvl w:val="2"/>
          <w:numId w:val="23"/>
        </w:numPr>
        <w:spacing w:after="120" w:line="276" w:lineRule="auto"/>
        <w:jc w:val="both"/>
        <w:rPr>
          <w:rFonts w:ascii="GHEA Grapalat" w:eastAsia="Calibri" w:hAnsi="GHEA Grapalat" w:cs="Arial"/>
          <w:b/>
          <w:color w:val="7030A0"/>
          <w:sz w:val="20"/>
          <w:szCs w:val="20"/>
          <w:lang w:val="hy-AM"/>
        </w:rPr>
      </w:pPr>
      <w:bookmarkStart w:id="9" w:name="_Toc96025853"/>
      <w:r w:rsidRPr="00A77E64">
        <w:rPr>
          <w:rFonts w:ascii="GHEA Grapalat" w:eastAsia="Calibri" w:hAnsi="GHEA Grapalat" w:cs="Sylfaen"/>
          <w:b/>
          <w:color w:val="7030A0"/>
          <w:sz w:val="20"/>
          <w:szCs w:val="20"/>
          <w:lang w:val="hy-AM"/>
        </w:rPr>
        <w:t>ՄԻՋՈՑԱՌՈՒՄՆԵՐԻ</w:t>
      </w:r>
      <w:r w:rsidRPr="00A77E64">
        <w:rPr>
          <w:rFonts w:ascii="GHEA Grapalat" w:eastAsia="Calibri" w:hAnsi="GHEA Grapalat" w:cs="Arial"/>
          <w:b/>
          <w:color w:val="7030A0"/>
          <w:sz w:val="20"/>
          <w:szCs w:val="20"/>
          <w:lang w:val="hy-AM"/>
        </w:rPr>
        <w:t xml:space="preserve"> </w:t>
      </w:r>
      <w:r w:rsidRPr="00A77E64">
        <w:rPr>
          <w:rFonts w:ascii="GHEA Grapalat" w:eastAsia="Calibri" w:hAnsi="GHEA Grapalat" w:cs="Sylfaen"/>
          <w:b/>
          <w:color w:val="7030A0"/>
          <w:sz w:val="20"/>
          <w:szCs w:val="20"/>
          <w:lang w:val="hy-AM"/>
        </w:rPr>
        <w:t>ԻՐԱԿԱՆԱՑՄԱՆ</w:t>
      </w:r>
      <w:r w:rsidRPr="00A77E64">
        <w:rPr>
          <w:rFonts w:ascii="GHEA Grapalat" w:eastAsia="Calibri" w:hAnsi="GHEA Grapalat" w:cs="Arial"/>
          <w:b/>
          <w:color w:val="7030A0"/>
          <w:sz w:val="20"/>
          <w:szCs w:val="20"/>
          <w:lang w:val="hy-AM"/>
        </w:rPr>
        <w:t xml:space="preserve"> </w:t>
      </w:r>
      <w:r w:rsidRPr="00A77E64">
        <w:rPr>
          <w:rFonts w:ascii="GHEA Grapalat" w:eastAsia="Calibri" w:hAnsi="GHEA Grapalat" w:cs="Sylfaen"/>
          <w:b/>
          <w:color w:val="7030A0"/>
          <w:sz w:val="20"/>
          <w:szCs w:val="20"/>
          <w:lang w:val="hy-AM"/>
        </w:rPr>
        <w:t>ԱՐԴՅՈՒՆՔՆԵՐԸ</w:t>
      </w:r>
      <w:r w:rsidRPr="00A77E64">
        <w:rPr>
          <w:rFonts w:ascii="GHEA Grapalat" w:eastAsia="Calibri" w:hAnsi="GHEA Grapalat" w:cs="Arial"/>
          <w:b/>
          <w:color w:val="7030A0"/>
          <w:sz w:val="20"/>
          <w:szCs w:val="20"/>
          <w:lang w:val="hy-AM"/>
        </w:rPr>
        <w:t xml:space="preserve"> </w:t>
      </w:r>
      <w:r w:rsidRPr="00A77E64">
        <w:rPr>
          <w:rFonts w:ascii="GHEA Grapalat" w:eastAsia="Calibri" w:hAnsi="GHEA Grapalat" w:cs="Sylfaen"/>
          <w:b/>
          <w:color w:val="7030A0"/>
          <w:sz w:val="20"/>
          <w:szCs w:val="20"/>
          <w:lang w:val="hy-AM"/>
        </w:rPr>
        <w:t>ԵՎ</w:t>
      </w:r>
      <w:r w:rsidRPr="00A77E64">
        <w:rPr>
          <w:rFonts w:ascii="GHEA Grapalat" w:eastAsia="Calibri" w:hAnsi="GHEA Grapalat" w:cs="Arial"/>
          <w:b/>
          <w:color w:val="7030A0"/>
          <w:sz w:val="20"/>
          <w:szCs w:val="20"/>
          <w:lang w:val="hy-AM"/>
        </w:rPr>
        <w:t xml:space="preserve"> </w:t>
      </w:r>
      <w:r w:rsidRPr="00A77E64">
        <w:rPr>
          <w:rFonts w:ascii="GHEA Grapalat" w:eastAsia="Calibri" w:hAnsi="GHEA Grapalat" w:cs="Sylfaen"/>
          <w:b/>
          <w:color w:val="7030A0"/>
          <w:sz w:val="20"/>
          <w:szCs w:val="20"/>
          <w:lang w:val="hy-AM"/>
        </w:rPr>
        <w:t>ԱԶԴԵՑՈՒԹՅՈՒՆԸ</w:t>
      </w:r>
      <w:bookmarkEnd w:id="9"/>
    </w:p>
    <w:p w14:paraId="501657C6" w14:textId="157B5532" w:rsidR="003745A6" w:rsidRPr="00A77E64" w:rsidRDefault="003745A6" w:rsidP="00C06E72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Միջո</w:t>
      </w:r>
      <w:r w:rsidR="007648D4">
        <w:rPr>
          <w:rFonts w:ascii="GHEA Grapalat" w:hAnsi="GHEA Grapalat"/>
          <w:color w:val="000000" w:themeColor="text1"/>
          <w:sz w:val="20"/>
          <w:szCs w:val="20"/>
          <w:lang w:val="hy-AM"/>
        </w:rPr>
        <w:t>ց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առումների իրականացման արդյունքում կձևավորվի իրավական միասնական համակարգ, որի շրջանակներում տարբ</w:t>
      </w:r>
      <w:r w:rsidR="007648D4">
        <w:rPr>
          <w:rFonts w:ascii="GHEA Grapalat" w:hAnsi="GHEA Grapalat"/>
          <w:color w:val="000000" w:themeColor="text1"/>
          <w:sz w:val="20"/>
          <w:szCs w:val="20"/>
          <w:lang w:val="hy-AM"/>
        </w:rPr>
        <w:t>ե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րակված մեթոդներ կկիրառվեն պետական և մասնավոր սեփականություն հանդիսացող հողերի համալիր իրավունքների տրամադրման համատեքստում։</w:t>
      </w:r>
    </w:p>
    <w:p w14:paraId="727327A2" w14:textId="69344F0F" w:rsidR="003745A6" w:rsidRPr="00A77E64" w:rsidRDefault="003745A6" w:rsidP="00C06E72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Կերաշխավորվեն թե</w:t>
      </w:r>
      <w:r w:rsidR="00C06E72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՛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ընդերքօգտագործողների, թե</w:t>
      </w:r>
      <w:r w:rsidR="00C06E72"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>՛</w:t>
      </w: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մասնավոր սեփականատերերի իրավունքները։</w:t>
      </w:r>
    </w:p>
    <w:p w14:paraId="25DC8F9F" w14:textId="33424280" w:rsidR="0041074E" w:rsidRPr="00A77E64" w:rsidRDefault="003745A6" w:rsidP="00E408C6">
      <w:pPr>
        <w:spacing w:after="120" w:line="276" w:lineRule="auto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7E6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Կձևավորվի կայուն ընդերքօգտագործման միջավայր, ինչը իր ազդեցությունը կունենա նաև ներդրումային գրավիչ միջավայր ձևավորելու համատեքստում։ </w:t>
      </w:r>
    </w:p>
    <w:sectPr w:rsidR="0041074E" w:rsidRPr="00A77E64" w:rsidSect="0027318E">
      <w:headerReference w:type="default" r:id="rId8"/>
      <w:footerReference w:type="even" r:id="rId9"/>
      <w:footerReference w:type="default" r:id="rId10"/>
      <w:pgSz w:w="12240" w:h="15840"/>
      <w:pgMar w:top="1134" w:right="540" w:bottom="1134" w:left="113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C099E" w14:textId="77777777" w:rsidR="003326E4" w:rsidRDefault="003326E4" w:rsidP="002112C3">
      <w:r>
        <w:separator/>
      </w:r>
    </w:p>
  </w:endnote>
  <w:endnote w:type="continuationSeparator" w:id="0">
    <w:p w14:paraId="4BC6FCF8" w14:textId="77777777" w:rsidR="003326E4" w:rsidRDefault="003326E4" w:rsidP="00211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20B0604020202020204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9378823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CFB1187" w14:textId="11EB3B60" w:rsidR="009D5A72" w:rsidRDefault="009D5A72" w:rsidP="009D5A72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2D0BD4D" w14:textId="77777777" w:rsidR="009D5A72" w:rsidRDefault="009D5A72" w:rsidP="00F05E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01BC0" w14:textId="3C76E6F9" w:rsidR="00146D8E" w:rsidRDefault="00146D8E" w:rsidP="006D3DC3">
    <w:pPr>
      <w:pStyle w:val="Footer"/>
      <w:rPr>
        <w:rFonts w:ascii="Arial" w:hAnsi="Arial" w:cs="Arial"/>
        <w:sz w:val="16"/>
        <w:szCs w:val="16"/>
      </w:rPr>
    </w:pPr>
  </w:p>
  <w:p w14:paraId="3887A617" w14:textId="77777777" w:rsidR="003E3FF6" w:rsidRDefault="003E3FF6" w:rsidP="006D3DC3">
    <w:pPr>
      <w:pStyle w:val="Footer"/>
      <w:rPr>
        <w:rFonts w:ascii="Arial" w:hAnsi="Arial" w:cs="Arial"/>
        <w:sz w:val="16"/>
        <w:szCs w:val="16"/>
      </w:rPr>
    </w:pPr>
  </w:p>
  <w:p w14:paraId="38F48D97" w14:textId="4CC90623" w:rsidR="006D3DC3" w:rsidRPr="003D2633" w:rsidRDefault="006D3DC3" w:rsidP="006D3DC3">
    <w:pPr>
      <w:pStyle w:val="Footer"/>
      <w:rPr>
        <w:rFonts w:ascii="Arial" w:hAnsi="Arial" w:cs="Arial"/>
        <w:sz w:val="16"/>
        <w:szCs w:val="16"/>
      </w:rPr>
    </w:pPr>
    <w:r w:rsidRPr="005B141D">
      <w:rPr>
        <w:rFonts w:ascii="Arial" w:hAnsi="Arial" w:cs="Arial"/>
        <w:sz w:val="16"/>
        <w:szCs w:val="16"/>
      </w:rPr>
      <w:t xml:space="preserve">© 2022 Grant Thornton </w:t>
    </w:r>
    <w:r w:rsidRPr="005B141D">
      <w:rPr>
        <w:rFonts w:ascii="Arial" w:hAnsi="Arial" w:cs="Arial"/>
        <w:sz w:val="16"/>
        <w:szCs w:val="16"/>
        <w:lang w:val="en-GB"/>
      </w:rPr>
      <w:t>CJSC</w:t>
    </w:r>
    <w:r w:rsidRPr="005B141D">
      <w:rPr>
        <w:rFonts w:ascii="Arial" w:hAnsi="Arial" w:cs="Arial"/>
        <w:sz w:val="16"/>
        <w:szCs w:val="16"/>
      </w:rPr>
      <w:t>.  All rights reserved</w:t>
    </w:r>
    <w:r w:rsidRPr="005B141D">
      <w:rPr>
        <w:rFonts w:ascii="Arial" w:hAnsi="Arial" w:cs="Arial"/>
        <w:sz w:val="16"/>
        <w:szCs w:val="16"/>
      </w:rPr>
      <w:tab/>
    </w:r>
    <w:r w:rsidRPr="005B141D">
      <w:rPr>
        <w:rFonts w:ascii="Arial" w:hAnsi="Arial" w:cs="Arial"/>
        <w:sz w:val="16"/>
        <w:szCs w:val="16"/>
      </w:rPr>
      <w:tab/>
      <w:t xml:space="preserve"> </w:t>
    </w:r>
    <w:sdt>
      <w:sdtPr>
        <w:rPr>
          <w:rFonts w:ascii="Arial" w:hAnsi="Arial" w:cs="Arial"/>
          <w:sz w:val="16"/>
          <w:szCs w:val="16"/>
        </w:rPr>
        <w:id w:val="-124479941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B141D">
          <w:rPr>
            <w:rFonts w:ascii="Arial" w:hAnsi="Arial" w:cs="Arial"/>
            <w:sz w:val="16"/>
            <w:szCs w:val="16"/>
          </w:rPr>
          <w:fldChar w:fldCharType="begin"/>
        </w:r>
        <w:r w:rsidRPr="005B141D">
          <w:rPr>
            <w:rFonts w:ascii="Arial" w:hAnsi="Arial" w:cs="Arial"/>
            <w:sz w:val="16"/>
            <w:szCs w:val="16"/>
          </w:rPr>
          <w:instrText xml:space="preserve"> PAGE   \* MERGEFORMAT </w:instrText>
        </w:r>
        <w:r w:rsidRPr="005B141D">
          <w:rPr>
            <w:rFonts w:ascii="Arial" w:hAnsi="Arial" w:cs="Arial"/>
            <w:sz w:val="16"/>
            <w:szCs w:val="16"/>
          </w:rPr>
          <w:fldChar w:fldCharType="separate"/>
        </w:r>
        <w:r w:rsidR="00425E99">
          <w:rPr>
            <w:rFonts w:ascii="Arial" w:hAnsi="Arial" w:cs="Arial"/>
            <w:noProof/>
            <w:sz w:val="16"/>
            <w:szCs w:val="16"/>
          </w:rPr>
          <w:t>16</w:t>
        </w:r>
        <w:r w:rsidRPr="005B141D">
          <w:rPr>
            <w:rFonts w:ascii="Arial" w:hAnsi="Arial" w:cs="Arial"/>
            <w:noProof/>
            <w:sz w:val="16"/>
            <w:szCs w:val="16"/>
          </w:rPr>
          <w:fldChar w:fldCharType="end"/>
        </w:r>
      </w:sdtContent>
    </w:sdt>
  </w:p>
  <w:p w14:paraId="58BD426C" w14:textId="77777777" w:rsidR="009D5A72" w:rsidRDefault="009D5A72" w:rsidP="00F05E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B4F6B" w14:textId="77777777" w:rsidR="003326E4" w:rsidRDefault="003326E4" w:rsidP="002112C3">
      <w:r>
        <w:separator/>
      </w:r>
    </w:p>
  </w:footnote>
  <w:footnote w:type="continuationSeparator" w:id="0">
    <w:p w14:paraId="6F57D52F" w14:textId="77777777" w:rsidR="003326E4" w:rsidRDefault="003326E4" w:rsidP="002112C3">
      <w:r>
        <w:continuationSeparator/>
      </w:r>
    </w:p>
  </w:footnote>
  <w:footnote w:id="1">
    <w:p w14:paraId="61209312" w14:textId="5B57DB28" w:rsidR="00EA08FA" w:rsidRPr="000D0CB1" w:rsidRDefault="00EA08FA" w:rsidP="000D0CB1">
      <w:pPr>
        <w:pStyle w:val="NormalWeb"/>
        <w:spacing w:before="0" w:beforeAutospacing="0" w:after="0" w:afterAutospacing="0"/>
        <w:rPr>
          <w:rFonts w:ascii="GHEA Grapalat" w:hAnsi="GHEA Grapalat"/>
          <w:sz w:val="20"/>
          <w:szCs w:val="20"/>
        </w:rPr>
      </w:pPr>
      <w:r w:rsidRPr="000D0CB1">
        <w:rPr>
          <w:rStyle w:val="FootnoteReference"/>
          <w:rFonts w:ascii="GHEA Grapalat" w:hAnsi="GHEA Grapalat"/>
          <w:sz w:val="20"/>
          <w:szCs w:val="20"/>
        </w:rPr>
        <w:footnoteRef/>
      </w:r>
      <w:r w:rsidRPr="000D0CB1">
        <w:rPr>
          <w:rFonts w:ascii="GHEA Grapalat" w:hAnsi="GHEA Grapalat"/>
          <w:sz w:val="20"/>
          <w:szCs w:val="20"/>
        </w:rPr>
        <w:t xml:space="preserve"> </w:t>
      </w:r>
      <w:r w:rsidRPr="000D0CB1">
        <w:rPr>
          <w:rFonts w:ascii="GHEA Grapalat" w:hAnsi="GHEA Grapalat"/>
          <w:sz w:val="20"/>
          <w:szCs w:val="20"/>
          <w:lang w:val="hy-AM"/>
        </w:rPr>
        <w:t>Տ</w:t>
      </w:r>
      <w:r w:rsidRPr="000D0CB1">
        <w:rPr>
          <w:rFonts w:ascii="GHEA Grapalat" w:hAnsi="GHEA Grapalat"/>
          <w:sz w:val="20"/>
          <w:szCs w:val="20"/>
        </w:rPr>
        <w:t>ե</w:t>
      </w:r>
      <w:r w:rsidRPr="000D0CB1">
        <w:rPr>
          <w:rFonts w:ascii="GHEA Grapalat" w:hAnsi="GHEA Grapalat"/>
          <w:sz w:val="20"/>
          <w:szCs w:val="20"/>
          <w:lang w:val="hy-AM"/>
        </w:rPr>
        <w:t>'</w:t>
      </w:r>
      <w:r w:rsidRPr="000D0CB1">
        <w:rPr>
          <w:rFonts w:ascii="GHEA Grapalat" w:hAnsi="GHEA Grapalat"/>
          <w:sz w:val="20"/>
          <w:szCs w:val="20"/>
        </w:rPr>
        <w:t xml:space="preserve">ս ՄՖԿ` </w:t>
      </w:r>
      <w:r w:rsidRPr="000D0CB1">
        <w:rPr>
          <w:rFonts w:ascii="GHEA Grapalat" w:hAnsi="GHEA Grapalat"/>
          <w:color w:val="0000FF"/>
          <w:sz w:val="20"/>
          <w:szCs w:val="20"/>
        </w:rPr>
        <w:t>www.ifc.org</w:t>
      </w:r>
      <w:r w:rsidRPr="000D0CB1">
        <w:rPr>
          <w:rFonts w:ascii="GHEA Grapalat" w:hAnsi="GHEA Grapalat"/>
          <w:sz w:val="20"/>
          <w:szCs w:val="20"/>
        </w:rPr>
        <w:t xml:space="preserve">, ՎԶԵԲ </w:t>
      </w:r>
      <w:r w:rsidRPr="000D0CB1">
        <w:rPr>
          <w:rFonts w:ascii="GHEA Grapalat" w:hAnsi="GHEA Grapalat"/>
          <w:color w:val="0000FF"/>
          <w:sz w:val="20"/>
          <w:szCs w:val="20"/>
        </w:rPr>
        <w:t>www.ebrd.com</w:t>
      </w:r>
    </w:p>
  </w:footnote>
  <w:footnote w:id="2">
    <w:p w14:paraId="44A0DBAD" w14:textId="53EB9614" w:rsidR="00EA08FA" w:rsidRPr="000D0CB1" w:rsidRDefault="00EA08FA" w:rsidP="000D0CB1">
      <w:pPr>
        <w:pStyle w:val="NormalWeb"/>
        <w:spacing w:before="0" w:beforeAutospacing="0" w:after="0" w:afterAutospacing="0"/>
        <w:contextualSpacing/>
        <w:rPr>
          <w:rFonts w:ascii="GHEA Grapalat" w:hAnsi="GHEA Grapalat"/>
          <w:sz w:val="20"/>
          <w:szCs w:val="20"/>
          <w:lang w:val="hy-AM"/>
        </w:rPr>
      </w:pPr>
      <w:r w:rsidRPr="000D0CB1">
        <w:rPr>
          <w:rStyle w:val="FootnoteReference"/>
          <w:rFonts w:ascii="GHEA Grapalat" w:hAnsi="GHEA Grapalat"/>
          <w:sz w:val="20"/>
          <w:szCs w:val="20"/>
        </w:rPr>
        <w:footnoteRef/>
      </w:r>
      <w:r w:rsidRPr="000D0CB1">
        <w:rPr>
          <w:rFonts w:ascii="GHEA Grapalat" w:hAnsi="GHEA Grapalat"/>
          <w:sz w:val="20"/>
          <w:szCs w:val="20"/>
          <w:lang w:val="hy-AM"/>
        </w:rPr>
        <w:t xml:space="preserve"> Տե'ս ԱԶԲ </w:t>
      </w:r>
      <w:r w:rsidRPr="000D0CB1">
        <w:rPr>
          <w:rFonts w:ascii="GHEA Grapalat" w:hAnsi="GHEA Grapalat"/>
          <w:color w:val="0000FF"/>
          <w:sz w:val="20"/>
          <w:szCs w:val="20"/>
          <w:lang w:val="hy-AM"/>
        </w:rPr>
        <w:t xml:space="preserve">www.adb.org </w:t>
      </w:r>
    </w:p>
  </w:footnote>
  <w:footnote w:id="3">
    <w:p w14:paraId="7270B845" w14:textId="77777777" w:rsidR="007414FE" w:rsidRPr="00EA08FA" w:rsidRDefault="007414FE" w:rsidP="00EA08FA">
      <w:pPr>
        <w:pStyle w:val="FootnoteText"/>
        <w:contextualSpacing/>
        <w:jc w:val="both"/>
        <w:rPr>
          <w:lang w:val="hy-AM"/>
        </w:rPr>
      </w:pPr>
      <w:r w:rsidRPr="00EA08FA">
        <w:rPr>
          <w:rStyle w:val="FootnoteReference"/>
        </w:rPr>
        <w:footnoteRef/>
      </w:r>
      <w:r w:rsidRPr="00EA08FA">
        <w:rPr>
          <w:lang w:val="hy-AM"/>
        </w:rPr>
        <w:t xml:space="preserve"> </w:t>
      </w:r>
      <w:r w:rsidRPr="00EA08FA">
        <w:rPr>
          <w:rFonts w:ascii="GHEA Grapalat" w:hAnsi="GHEA Grapalat"/>
          <w:lang w:val="hy-AM"/>
        </w:rPr>
        <w:t>Բադալյան, Ս. «Ընդերքօգտագործման ոլորտում հողային հարաբերությունների կարգավորման հիմնախնդիրները ՀՀ-ում», 1(3) 2019, ԵՊՀ հրատարակչություն Երևան – 2020։</w:t>
      </w:r>
    </w:p>
    <w:p w14:paraId="4C5F6024" w14:textId="695A1CAF" w:rsidR="007414FE" w:rsidRPr="00EA08FA" w:rsidRDefault="007414FE" w:rsidP="007414FE">
      <w:pPr>
        <w:pStyle w:val="FootnoteText"/>
        <w:jc w:val="both"/>
        <w:rPr>
          <w:lang w:val="hy-AM"/>
        </w:rPr>
      </w:pPr>
    </w:p>
  </w:footnote>
  <w:footnote w:id="4">
    <w:p w14:paraId="1610B24E" w14:textId="19952485" w:rsidR="00026359" w:rsidRPr="00FE3EF3" w:rsidRDefault="00EA08FA">
      <w:pPr>
        <w:pStyle w:val="FootnoteText"/>
        <w:rPr>
          <w:rFonts w:ascii="GHEA Grapalat" w:hAnsi="GHEA Grapalat"/>
          <w:lang w:val="hy-AM"/>
        </w:rPr>
      </w:pPr>
      <w:r w:rsidRPr="00FE3EF3">
        <w:rPr>
          <w:rStyle w:val="FootnoteReference"/>
          <w:rFonts w:ascii="GHEA Grapalat" w:hAnsi="GHEA Grapalat"/>
        </w:rPr>
        <w:footnoteRef/>
      </w:r>
      <w:r w:rsidRPr="00FE3EF3">
        <w:rPr>
          <w:rFonts w:ascii="GHEA Grapalat" w:hAnsi="GHEA Grapalat"/>
          <w:lang w:val="hy-AM"/>
        </w:rPr>
        <w:t xml:space="preserve"> Տե'ս «Ընդերքօգտագործման ոլորտի իրավական կարգավորումների վերլուծություն», վերջնական զեկույց</w:t>
      </w:r>
    </w:p>
  </w:footnote>
  <w:footnote w:id="5">
    <w:p w14:paraId="37BF2509" w14:textId="791B420C" w:rsidR="00EA08FA" w:rsidRDefault="00EA08FA">
      <w:pPr>
        <w:pStyle w:val="FootnoteText"/>
        <w:rPr>
          <w:rFonts w:ascii="GHEA Grapalat" w:hAnsi="GHEA Grapalat"/>
          <w:lang w:val="hy-AM"/>
        </w:rPr>
      </w:pPr>
      <w:r w:rsidRPr="00F049D4">
        <w:rPr>
          <w:rStyle w:val="FootnoteReference"/>
          <w:rFonts w:ascii="GHEA Grapalat" w:hAnsi="GHEA Grapalat"/>
        </w:rPr>
        <w:footnoteRef/>
      </w:r>
      <w:r w:rsidRPr="00F049D4">
        <w:rPr>
          <w:rFonts w:ascii="GHEA Grapalat" w:hAnsi="GHEA Grapalat"/>
          <w:lang w:val="hy-AM"/>
        </w:rPr>
        <w:t xml:space="preserve"> </w:t>
      </w:r>
      <w:hyperlink r:id="rId1" w:history="1">
        <w:r w:rsidR="00026359" w:rsidRPr="000E629D">
          <w:rPr>
            <w:rStyle w:val="Hyperlink"/>
            <w:rFonts w:ascii="GHEA Grapalat" w:hAnsi="GHEA Grapalat"/>
            <w:lang w:val="hy-AM"/>
          </w:rPr>
          <w:t>https://documents1.worldbank.org/curated/en/294331530217033360/ESF-Guidance-Note-5-Land-Acquisition-Restrictions-on-Land-Use-and-Involuntary-Resettlement-English.pdf</w:t>
        </w:r>
      </w:hyperlink>
    </w:p>
    <w:p w14:paraId="6CCB7331" w14:textId="77777777" w:rsidR="00026359" w:rsidRPr="00F049D4" w:rsidRDefault="00026359">
      <w:pPr>
        <w:pStyle w:val="FootnoteText"/>
        <w:rPr>
          <w:rFonts w:ascii="GHEA Grapalat" w:hAnsi="GHEA Grapalat"/>
          <w:lang w:val="hy-AM"/>
        </w:rPr>
      </w:pPr>
    </w:p>
  </w:footnote>
  <w:footnote w:id="6">
    <w:p w14:paraId="4CCF7BAC" w14:textId="3536A10D" w:rsidR="00DA27CE" w:rsidRPr="00E00422" w:rsidRDefault="00DA27CE">
      <w:pPr>
        <w:pStyle w:val="FootnoteText"/>
        <w:rPr>
          <w:rFonts w:ascii="GHEA Grapalat" w:hAnsi="GHEA Grapalat"/>
          <w:lang w:val="hy-AM"/>
        </w:rPr>
      </w:pPr>
      <w:r w:rsidRPr="00E00422">
        <w:rPr>
          <w:rStyle w:val="FootnoteReference"/>
          <w:rFonts w:ascii="GHEA Grapalat" w:hAnsi="GHEA Grapalat"/>
        </w:rPr>
        <w:footnoteRef/>
      </w:r>
      <w:r w:rsidRPr="00E00422">
        <w:rPr>
          <w:rFonts w:ascii="GHEA Grapalat" w:hAnsi="GHEA Grapalat"/>
          <w:lang w:val="hy-AM"/>
        </w:rPr>
        <w:t xml:space="preserve"> </w:t>
      </w:r>
      <w:r w:rsidRPr="00E00422">
        <w:rPr>
          <w:rFonts w:ascii="GHEA Grapalat" w:hAnsi="GHEA Grapalat"/>
          <w:lang w:val="hy-AM"/>
        </w:rPr>
        <w:t>https://www.legislation.qld.gov.au/view/pdf/inforce/current/act-1989-110</w:t>
      </w:r>
    </w:p>
  </w:footnote>
  <w:footnote w:id="7">
    <w:p w14:paraId="171F5587" w14:textId="702220DD" w:rsidR="004B304D" w:rsidRPr="00F049D4" w:rsidRDefault="004B304D">
      <w:pPr>
        <w:pStyle w:val="FootnoteText"/>
        <w:rPr>
          <w:rFonts w:ascii="GHEA Grapalat" w:hAnsi="GHEA Grapalat"/>
          <w:lang w:val="hy-AM"/>
        </w:rPr>
      </w:pPr>
      <w:r w:rsidRPr="00F049D4">
        <w:rPr>
          <w:rStyle w:val="FootnoteReference"/>
          <w:rFonts w:ascii="GHEA Grapalat" w:hAnsi="GHEA Grapalat"/>
        </w:rPr>
        <w:footnoteRef/>
      </w:r>
      <w:r w:rsidRPr="00F049D4">
        <w:rPr>
          <w:rFonts w:ascii="GHEA Grapalat" w:hAnsi="GHEA Grapalat"/>
          <w:lang w:val="hy-AM"/>
        </w:rPr>
        <w:t xml:space="preserve"> </w:t>
      </w:r>
      <w:r w:rsidRPr="00F049D4">
        <w:rPr>
          <w:rFonts w:ascii="GHEA Grapalat" w:hAnsi="GHEA Grapalat"/>
          <w:lang w:val="hy-AM"/>
        </w:rPr>
        <w:t>https://www.gov.za/sites/default/files/gcis_document/201409/a28-020.pdf</w:t>
      </w:r>
    </w:p>
  </w:footnote>
  <w:footnote w:id="8">
    <w:p w14:paraId="1C3F69D5" w14:textId="6D3F3B6A" w:rsidR="00650459" w:rsidRPr="00F049D4" w:rsidRDefault="00650459">
      <w:pPr>
        <w:pStyle w:val="FootnoteText"/>
        <w:rPr>
          <w:rFonts w:ascii="GHEA Grapalat" w:hAnsi="GHEA Grapalat"/>
          <w:lang w:val="hy-AM"/>
        </w:rPr>
      </w:pPr>
      <w:r w:rsidRPr="00F049D4">
        <w:rPr>
          <w:rStyle w:val="FootnoteReference"/>
          <w:rFonts w:ascii="GHEA Grapalat" w:hAnsi="GHEA Grapalat"/>
        </w:rPr>
        <w:footnoteRef/>
      </w:r>
      <w:r w:rsidRPr="00F049D4">
        <w:rPr>
          <w:rFonts w:ascii="GHEA Grapalat" w:hAnsi="GHEA Grapalat"/>
          <w:lang w:val="hy-AM"/>
        </w:rPr>
        <w:t xml:space="preserve"> </w:t>
      </w:r>
      <w:r w:rsidRPr="00F049D4">
        <w:rPr>
          <w:rFonts w:ascii="GHEA Grapalat" w:hAnsi="GHEA Grapalat"/>
          <w:lang w:val="hy-AM"/>
        </w:rPr>
        <w:t>http://www.legisquebec.gouv.qc.ca/en/document/cs/M-13.1</w:t>
      </w:r>
    </w:p>
  </w:footnote>
  <w:footnote w:id="9">
    <w:p w14:paraId="5CBF6FD1" w14:textId="74B3681A" w:rsidR="00650459" w:rsidRPr="00F049D4" w:rsidRDefault="00650459">
      <w:pPr>
        <w:pStyle w:val="FootnoteText"/>
        <w:rPr>
          <w:rFonts w:ascii="GHEA Grapalat" w:hAnsi="GHEA Grapalat"/>
          <w:lang w:val="hy-AM"/>
        </w:rPr>
      </w:pPr>
      <w:r w:rsidRPr="00F049D4">
        <w:rPr>
          <w:rStyle w:val="FootnoteReference"/>
          <w:rFonts w:ascii="GHEA Grapalat" w:hAnsi="GHEA Grapalat"/>
        </w:rPr>
        <w:footnoteRef/>
      </w:r>
      <w:r w:rsidRPr="00F049D4">
        <w:rPr>
          <w:rFonts w:ascii="GHEA Grapalat" w:hAnsi="GHEA Grapalat"/>
          <w:lang w:val="hy-AM"/>
        </w:rPr>
        <w:t xml:space="preserve"> </w:t>
      </w:r>
      <w:r w:rsidRPr="00F049D4">
        <w:rPr>
          <w:rFonts w:ascii="GHEA Grapalat" w:hAnsi="GHEA Grapalat"/>
          <w:lang w:val="hy-AM"/>
        </w:rPr>
        <w:t>https://www.resourcedata.org/document/rgi-mining-code-law-685-of-2001-complete</w:t>
      </w:r>
    </w:p>
  </w:footnote>
  <w:footnote w:id="10">
    <w:p w14:paraId="4335779D" w14:textId="3AEE8BA7" w:rsidR="00650459" w:rsidRPr="00F049D4" w:rsidRDefault="00650459" w:rsidP="00650459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049D4">
        <w:rPr>
          <w:rStyle w:val="FootnoteReference"/>
          <w:rFonts w:ascii="GHEA Grapalat" w:hAnsi="GHEA Grapalat"/>
          <w:sz w:val="20"/>
          <w:szCs w:val="20"/>
        </w:rPr>
        <w:footnoteRef/>
      </w:r>
      <w:r w:rsidRPr="00F049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049D4">
        <w:rPr>
          <w:rFonts w:ascii="GHEA Grapalat" w:hAnsi="GHEA Grapalat"/>
          <w:sz w:val="20"/>
          <w:szCs w:val="20"/>
          <w:lang w:val="hy-AM"/>
        </w:rPr>
        <w:t xml:space="preserve">https://rmis.jrc.ec.europa.eu/uploads/legislation/MINLEX_CountryReport_LV_2019update.pdf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5EE3E" w14:textId="490719C6" w:rsidR="006D3DC3" w:rsidRDefault="006D3DC3">
    <w:pPr>
      <w:pStyle w:val="Header"/>
      <w:rPr>
        <w:rFonts w:ascii="GHEA Grapalat" w:hAnsi="GHEA Grapalat"/>
        <w:sz w:val="16"/>
        <w:szCs w:val="16"/>
      </w:rPr>
    </w:pPr>
    <w:proofErr w:type="spellStart"/>
    <w:r w:rsidRPr="00B74709">
      <w:rPr>
        <w:rFonts w:ascii="GHEA Grapalat" w:hAnsi="GHEA Grapalat"/>
        <w:sz w:val="16"/>
        <w:szCs w:val="16"/>
      </w:rPr>
      <w:t>Ծրագիր</w:t>
    </w:r>
    <w:proofErr w:type="spellEnd"/>
    <w:r w:rsidRPr="00B74709">
      <w:rPr>
        <w:rFonts w:ascii="GHEA Grapalat" w:hAnsi="GHEA Grapalat"/>
        <w:sz w:val="16"/>
        <w:szCs w:val="16"/>
      </w:rPr>
      <w:t xml:space="preserve">. </w:t>
    </w:r>
    <w:proofErr w:type="spellStart"/>
    <w:r w:rsidRPr="00B74709">
      <w:rPr>
        <w:rFonts w:ascii="GHEA Grapalat" w:hAnsi="GHEA Grapalat"/>
        <w:sz w:val="16"/>
        <w:szCs w:val="16"/>
      </w:rPr>
      <w:t>Հայաստանի</w:t>
    </w:r>
    <w:proofErr w:type="spellEnd"/>
    <w:r w:rsidRPr="00B74709">
      <w:rPr>
        <w:rFonts w:ascii="GHEA Grapalat" w:hAnsi="GHEA Grapalat"/>
        <w:sz w:val="16"/>
        <w:szCs w:val="16"/>
      </w:rPr>
      <w:t xml:space="preserve"> </w:t>
    </w:r>
    <w:proofErr w:type="spellStart"/>
    <w:r w:rsidRPr="00B74709">
      <w:rPr>
        <w:rFonts w:ascii="GHEA Grapalat" w:hAnsi="GHEA Grapalat"/>
        <w:sz w:val="16"/>
        <w:szCs w:val="16"/>
      </w:rPr>
      <w:t>հանքարդյունաբերության</w:t>
    </w:r>
    <w:proofErr w:type="spellEnd"/>
    <w:r w:rsidRPr="00B74709">
      <w:rPr>
        <w:rFonts w:ascii="GHEA Grapalat" w:hAnsi="GHEA Grapalat"/>
        <w:sz w:val="16"/>
        <w:szCs w:val="16"/>
      </w:rPr>
      <w:t xml:space="preserve"> </w:t>
    </w:r>
    <w:proofErr w:type="spellStart"/>
    <w:r w:rsidRPr="00B74709">
      <w:rPr>
        <w:rFonts w:ascii="GHEA Grapalat" w:hAnsi="GHEA Grapalat"/>
        <w:sz w:val="16"/>
        <w:szCs w:val="16"/>
      </w:rPr>
      <w:t>քաղաքականություն</w:t>
    </w:r>
    <w:proofErr w:type="spellEnd"/>
    <w:r w:rsidRPr="00B74709">
      <w:rPr>
        <w:rFonts w:ascii="GHEA Grapalat" w:hAnsi="GHEA Grapalat"/>
        <w:sz w:val="16"/>
        <w:szCs w:val="16"/>
      </w:rPr>
      <w:t xml:space="preserve"> II </w:t>
    </w:r>
    <w:proofErr w:type="spellStart"/>
    <w:r w:rsidRPr="00B74709">
      <w:rPr>
        <w:rFonts w:ascii="GHEA Grapalat" w:hAnsi="GHEA Grapalat"/>
        <w:sz w:val="16"/>
        <w:szCs w:val="16"/>
      </w:rPr>
      <w:t>Հանքարդյունաբերության</w:t>
    </w:r>
    <w:proofErr w:type="spellEnd"/>
    <w:r w:rsidRPr="00B74709">
      <w:rPr>
        <w:rFonts w:ascii="GHEA Grapalat" w:hAnsi="GHEA Grapalat"/>
        <w:sz w:val="16"/>
        <w:szCs w:val="16"/>
      </w:rPr>
      <w:t xml:space="preserve"> </w:t>
    </w:r>
    <w:proofErr w:type="spellStart"/>
    <w:r w:rsidRPr="00B74709">
      <w:rPr>
        <w:rFonts w:ascii="GHEA Grapalat" w:hAnsi="GHEA Grapalat"/>
        <w:sz w:val="16"/>
        <w:szCs w:val="16"/>
      </w:rPr>
      <w:t>ոլորտի</w:t>
    </w:r>
    <w:proofErr w:type="spellEnd"/>
    <w:r w:rsidRPr="00B74709">
      <w:rPr>
        <w:rFonts w:ascii="GHEA Grapalat" w:hAnsi="GHEA Grapalat"/>
        <w:sz w:val="16"/>
        <w:szCs w:val="16"/>
      </w:rPr>
      <w:t xml:space="preserve"> </w:t>
    </w:r>
    <w:proofErr w:type="spellStart"/>
    <w:r w:rsidRPr="00B74709">
      <w:rPr>
        <w:rFonts w:ascii="GHEA Grapalat" w:hAnsi="GHEA Grapalat"/>
        <w:sz w:val="16"/>
        <w:szCs w:val="16"/>
      </w:rPr>
      <w:t>զարգացման</w:t>
    </w:r>
    <w:proofErr w:type="spellEnd"/>
    <w:r w:rsidRPr="00B74709">
      <w:rPr>
        <w:rFonts w:ascii="GHEA Grapalat" w:hAnsi="GHEA Grapalat"/>
        <w:sz w:val="16"/>
        <w:szCs w:val="16"/>
      </w:rPr>
      <w:t xml:space="preserve"> </w:t>
    </w:r>
    <w:proofErr w:type="spellStart"/>
    <w:r w:rsidRPr="00B74709">
      <w:rPr>
        <w:rFonts w:ascii="GHEA Grapalat" w:hAnsi="GHEA Grapalat"/>
        <w:sz w:val="16"/>
        <w:szCs w:val="16"/>
      </w:rPr>
      <w:t>ռազմավարության</w:t>
    </w:r>
    <w:proofErr w:type="spellEnd"/>
    <w:r w:rsidRPr="00B74709">
      <w:rPr>
        <w:rFonts w:ascii="GHEA Grapalat" w:hAnsi="GHEA Grapalat"/>
        <w:sz w:val="16"/>
        <w:szCs w:val="16"/>
      </w:rPr>
      <w:t xml:space="preserve"> </w:t>
    </w:r>
    <w:proofErr w:type="spellStart"/>
    <w:r w:rsidRPr="00B74709">
      <w:rPr>
        <w:rFonts w:ascii="GHEA Grapalat" w:hAnsi="GHEA Grapalat"/>
        <w:sz w:val="16"/>
        <w:szCs w:val="16"/>
      </w:rPr>
      <w:t>մշակում</w:t>
    </w:r>
    <w:proofErr w:type="spellEnd"/>
  </w:p>
  <w:p w14:paraId="3074ABDB" w14:textId="77777777" w:rsidR="00146D8E" w:rsidRDefault="00146D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56586"/>
    <w:multiLevelType w:val="hybridMultilevel"/>
    <w:tmpl w:val="A266BFEC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DC020E0"/>
    <w:multiLevelType w:val="hybridMultilevel"/>
    <w:tmpl w:val="C33A2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449F0"/>
    <w:multiLevelType w:val="hybridMultilevel"/>
    <w:tmpl w:val="B2E6B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96AE3"/>
    <w:multiLevelType w:val="multilevel"/>
    <w:tmpl w:val="9C26D6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410B29"/>
    <w:multiLevelType w:val="hybridMultilevel"/>
    <w:tmpl w:val="2A241A6C"/>
    <w:lvl w:ilvl="0" w:tplc="72C446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7A74F2"/>
    <w:multiLevelType w:val="multilevel"/>
    <w:tmpl w:val="E2D4A522"/>
    <w:lvl w:ilvl="0">
      <w:start w:val="3"/>
      <w:numFmt w:val="decimal"/>
      <w:lvlText w:val="%1."/>
      <w:lvlJc w:val="left"/>
      <w:pPr>
        <w:ind w:left="1080" w:hanging="360"/>
      </w:pPr>
      <w:rPr>
        <w:rFonts w:ascii="Sylfaen" w:hAnsi="Sylfaen" w:cs="Sylfae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Sylfae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Sylfaen" w:hint="default"/>
      </w:rPr>
    </w:lvl>
  </w:abstractNum>
  <w:abstractNum w:abstractNumId="6" w15:restartNumberingAfterBreak="0">
    <w:nsid w:val="142337F2"/>
    <w:multiLevelType w:val="hybridMultilevel"/>
    <w:tmpl w:val="C6B81782"/>
    <w:lvl w:ilvl="0" w:tplc="FBB01B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AC477EF"/>
    <w:multiLevelType w:val="hybridMultilevel"/>
    <w:tmpl w:val="BCE42A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806CE"/>
    <w:multiLevelType w:val="hybridMultilevel"/>
    <w:tmpl w:val="7B9CA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2421F1"/>
    <w:multiLevelType w:val="hybridMultilevel"/>
    <w:tmpl w:val="8B7EF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7D1AD4"/>
    <w:multiLevelType w:val="hybridMultilevel"/>
    <w:tmpl w:val="9D86C4D2"/>
    <w:lvl w:ilvl="0" w:tplc="4DD68C2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27FA6A38"/>
    <w:multiLevelType w:val="hybridMultilevel"/>
    <w:tmpl w:val="573AB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CE33EF"/>
    <w:multiLevelType w:val="hybridMultilevel"/>
    <w:tmpl w:val="0BAE4CB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A4F6537"/>
    <w:multiLevelType w:val="multilevel"/>
    <w:tmpl w:val="63424B60"/>
    <w:lvl w:ilvl="0">
      <w:start w:val="3"/>
      <w:numFmt w:val="decimal"/>
      <w:lvlText w:val="%1."/>
      <w:lvlJc w:val="left"/>
      <w:pPr>
        <w:ind w:left="540" w:hanging="54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ascii="Sylfaen" w:hAnsi="Sylfaen"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ascii="GHEA Grapalat" w:hAnsi="GHEA Grapalat" w:hint="default"/>
        <w:color w:val="7030A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14" w15:restartNumberingAfterBreak="0">
    <w:nsid w:val="40BA6F4D"/>
    <w:multiLevelType w:val="hybridMultilevel"/>
    <w:tmpl w:val="6518C9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C065F1"/>
    <w:multiLevelType w:val="hybridMultilevel"/>
    <w:tmpl w:val="D752DD64"/>
    <w:lvl w:ilvl="0" w:tplc="2DBAA6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B9C62B4"/>
    <w:multiLevelType w:val="multilevel"/>
    <w:tmpl w:val="E2D4A522"/>
    <w:lvl w:ilvl="0">
      <w:start w:val="3"/>
      <w:numFmt w:val="decimal"/>
      <w:lvlText w:val="%1."/>
      <w:lvlJc w:val="left"/>
      <w:pPr>
        <w:ind w:left="1080" w:hanging="360"/>
      </w:pPr>
      <w:rPr>
        <w:rFonts w:ascii="Sylfaen" w:hAnsi="Sylfaen" w:cs="Sylfae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Sylfae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Sylfaen" w:hint="default"/>
      </w:rPr>
    </w:lvl>
  </w:abstractNum>
  <w:abstractNum w:abstractNumId="17" w15:restartNumberingAfterBreak="0">
    <w:nsid w:val="4C1A5347"/>
    <w:multiLevelType w:val="multilevel"/>
    <w:tmpl w:val="7CE4926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DE34F2F"/>
    <w:multiLevelType w:val="hybridMultilevel"/>
    <w:tmpl w:val="3A486E80"/>
    <w:lvl w:ilvl="0" w:tplc="3DEC17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3D441EB"/>
    <w:multiLevelType w:val="hybridMultilevel"/>
    <w:tmpl w:val="D4D4799A"/>
    <w:lvl w:ilvl="0" w:tplc="801E98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3D60B8C"/>
    <w:multiLevelType w:val="multilevel"/>
    <w:tmpl w:val="4B36C438"/>
    <w:lvl w:ilvl="0">
      <w:start w:val="6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 w15:restartNumberingAfterBreak="0">
    <w:nsid w:val="5514211C"/>
    <w:multiLevelType w:val="hybridMultilevel"/>
    <w:tmpl w:val="6AC4682C"/>
    <w:lvl w:ilvl="0" w:tplc="95FA277E">
      <w:start w:val="1"/>
      <w:numFmt w:val="decimal"/>
      <w:lvlText w:val="%1)"/>
      <w:lvlJc w:val="left"/>
      <w:pPr>
        <w:ind w:left="1080" w:hanging="360"/>
      </w:pPr>
      <w:rPr>
        <w:rFonts w:ascii="Sylfaen" w:hAnsi="Sylfaen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88D5995"/>
    <w:multiLevelType w:val="hybridMultilevel"/>
    <w:tmpl w:val="E454FBB8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6604047D"/>
    <w:multiLevelType w:val="hybridMultilevel"/>
    <w:tmpl w:val="69E4E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8A740B"/>
    <w:multiLevelType w:val="hybridMultilevel"/>
    <w:tmpl w:val="FBA80ED0"/>
    <w:lvl w:ilvl="0" w:tplc="493CFF90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AC3EEA"/>
    <w:multiLevelType w:val="hybridMultilevel"/>
    <w:tmpl w:val="A5E82972"/>
    <w:lvl w:ilvl="0" w:tplc="91D2A0F0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F7E7FC0"/>
    <w:multiLevelType w:val="multilevel"/>
    <w:tmpl w:val="E1ECD2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7030A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7CD41DC"/>
    <w:multiLevelType w:val="multilevel"/>
    <w:tmpl w:val="4B30E874"/>
    <w:lvl w:ilvl="0">
      <w:start w:val="6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8" w15:restartNumberingAfterBreak="0">
    <w:nsid w:val="796D1CAC"/>
    <w:multiLevelType w:val="hybridMultilevel"/>
    <w:tmpl w:val="4C32836E"/>
    <w:lvl w:ilvl="0" w:tplc="F314ED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21"/>
  </w:num>
  <w:num w:numId="3">
    <w:abstractNumId w:val="27"/>
  </w:num>
  <w:num w:numId="4">
    <w:abstractNumId w:val="0"/>
  </w:num>
  <w:num w:numId="5">
    <w:abstractNumId w:val="22"/>
  </w:num>
  <w:num w:numId="6">
    <w:abstractNumId w:val="20"/>
  </w:num>
  <w:num w:numId="7">
    <w:abstractNumId w:val="15"/>
  </w:num>
  <w:num w:numId="8">
    <w:abstractNumId w:val="16"/>
  </w:num>
  <w:num w:numId="9">
    <w:abstractNumId w:val="23"/>
  </w:num>
  <w:num w:numId="10">
    <w:abstractNumId w:val="1"/>
  </w:num>
  <w:num w:numId="11">
    <w:abstractNumId w:val="3"/>
  </w:num>
  <w:num w:numId="12">
    <w:abstractNumId w:val="5"/>
  </w:num>
  <w:num w:numId="13">
    <w:abstractNumId w:val="13"/>
  </w:num>
  <w:num w:numId="14">
    <w:abstractNumId w:val="4"/>
  </w:num>
  <w:num w:numId="15">
    <w:abstractNumId w:val="28"/>
  </w:num>
  <w:num w:numId="16">
    <w:abstractNumId w:val="25"/>
  </w:num>
  <w:num w:numId="17">
    <w:abstractNumId w:val="14"/>
  </w:num>
  <w:num w:numId="18">
    <w:abstractNumId w:val="11"/>
  </w:num>
  <w:num w:numId="19">
    <w:abstractNumId w:val="6"/>
  </w:num>
  <w:num w:numId="20">
    <w:abstractNumId w:val="8"/>
  </w:num>
  <w:num w:numId="21">
    <w:abstractNumId w:val="10"/>
  </w:num>
  <w:num w:numId="22">
    <w:abstractNumId w:val="19"/>
  </w:num>
  <w:num w:numId="23">
    <w:abstractNumId w:val="26"/>
  </w:num>
  <w:num w:numId="24">
    <w:abstractNumId w:val="17"/>
  </w:num>
  <w:num w:numId="25">
    <w:abstractNumId w:val="9"/>
  </w:num>
  <w:num w:numId="26">
    <w:abstractNumId w:val="12"/>
  </w:num>
  <w:num w:numId="27">
    <w:abstractNumId w:val="7"/>
  </w:num>
  <w:num w:numId="28">
    <w:abstractNumId w:val="18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EC1"/>
    <w:rsid w:val="00004036"/>
    <w:rsid w:val="000163C3"/>
    <w:rsid w:val="0001657B"/>
    <w:rsid w:val="00016F16"/>
    <w:rsid w:val="00026359"/>
    <w:rsid w:val="0003040E"/>
    <w:rsid w:val="000351A7"/>
    <w:rsid w:val="000366A9"/>
    <w:rsid w:val="0005716E"/>
    <w:rsid w:val="000903ED"/>
    <w:rsid w:val="00092CCC"/>
    <w:rsid w:val="000A32C9"/>
    <w:rsid w:val="000D0749"/>
    <w:rsid w:val="000D0CB1"/>
    <w:rsid w:val="000D65E8"/>
    <w:rsid w:val="000E14C9"/>
    <w:rsid w:val="000E5D49"/>
    <w:rsid w:val="000E5F00"/>
    <w:rsid w:val="000F31BD"/>
    <w:rsid w:val="000F59A7"/>
    <w:rsid w:val="0010130B"/>
    <w:rsid w:val="00105601"/>
    <w:rsid w:val="00116AF2"/>
    <w:rsid w:val="00120AB7"/>
    <w:rsid w:val="00146D8E"/>
    <w:rsid w:val="001475CB"/>
    <w:rsid w:val="0016431F"/>
    <w:rsid w:val="00167CC0"/>
    <w:rsid w:val="0018569E"/>
    <w:rsid w:val="00191E6F"/>
    <w:rsid w:val="001A5E96"/>
    <w:rsid w:val="001B1A80"/>
    <w:rsid w:val="001B62A4"/>
    <w:rsid w:val="001C104B"/>
    <w:rsid w:val="001C1BE8"/>
    <w:rsid w:val="001C3F29"/>
    <w:rsid w:val="001C4114"/>
    <w:rsid w:val="001C4296"/>
    <w:rsid w:val="001C431B"/>
    <w:rsid w:val="001C4C72"/>
    <w:rsid w:val="001C5232"/>
    <w:rsid w:val="001D221F"/>
    <w:rsid w:val="001E489F"/>
    <w:rsid w:val="001E55A0"/>
    <w:rsid w:val="001E6306"/>
    <w:rsid w:val="001F0A03"/>
    <w:rsid w:val="001F4EC1"/>
    <w:rsid w:val="001F65F3"/>
    <w:rsid w:val="001F6C7E"/>
    <w:rsid w:val="00203ADB"/>
    <w:rsid w:val="002112C3"/>
    <w:rsid w:val="00215FB7"/>
    <w:rsid w:val="00223B6A"/>
    <w:rsid w:val="00226B26"/>
    <w:rsid w:val="00233A51"/>
    <w:rsid w:val="00234180"/>
    <w:rsid w:val="002361ED"/>
    <w:rsid w:val="0024349C"/>
    <w:rsid w:val="0027318E"/>
    <w:rsid w:val="002877F7"/>
    <w:rsid w:val="002918D6"/>
    <w:rsid w:val="00296294"/>
    <w:rsid w:val="00297450"/>
    <w:rsid w:val="00297E13"/>
    <w:rsid w:val="002A460D"/>
    <w:rsid w:val="002A5B3D"/>
    <w:rsid w:val="002B0659"/>
    <w:rsid w:val="002B2F07"/>
    <w:rsid w:val="002B72FE"/>
    <w:rsid w:val="002C01DD"/>
    <w:rsid w:val="002C3806"/>
    <w:rsid w:val="002C6B71"/>
    <w:rsid w:val="002D0985"/>
    <w:rsid w:val="002E04E2"/>
    <w:rsid w:val="002E5059"/>
    <w:rsid w:val="002F705B"/>
    <w:rsid w:val="003038E6"/>
    <w:rsid w:val="003171C1"/>
    <w:rsid w:val="00320176"/>
    <w:rsid w:val="00321AD1"/>
    <w:rsid w:val="00330F56"/>
    <w:rsid w:val="003326E4"/>
    <w:rsid w:val="003554ED"/>
    <w:rsid w:val="0035576D"/>
    <w:rsid w:val="00357527"/>
    <w:rsid w:val="00363874"/>
    <w:rsid w:val="00371F67"/>
    <w:rsid w:val="003745A6"/>
    <w:rsid w:val="00384BF0"/>
    <w:rsid w:val="00385466"/>
    <w:rsid w:val="00387C97"/>
    <w:rsid w:val="003943E3"/>
    <w:rsid w:val="003B3582"/>
    <w:rsid w:val="003B5A9F"/>
    <w:rsid w:val="003C0E54"/>
    <w:rsid w:val="003E24F6"/>
    <w:rsid w:val="003E3FF6"/>
    <w:rsid w:val="003F1E58"/>
    <w:rsid w:val="003F40C6"/>
    <w:rsid w:val="003F427D"/>
    <w:rsid w:val="003F5D22"/>
    <w:rsid w:val="004046C4"/>
    <w:rsid w:val="0041074E"/>
    <w:rsid w:val="00416F99"/>
    <w:rsid w:val="00417908"/>
    <w:rsid w:val="004233D2"/>
    <w:rsid w:val="00425E99"/>
    <w:rsid w:val="00426306"/>
    <w:rsid w:val="004342A7"/>
    <w:rsid w:val="00447E76"/>
    <w:rsid w:val="004633A1"/>
    <w:rsid w:val="00487740"/>
    <w:rsid w:val="004A04B9"/>
    <w:rsid w:val="004B304D"/>
    <w:rsid w:val="004C3C9C"/>
    <w:rsid w:val="004D4FC9"/>
    <w:rsid w:val="004E11EB"/>
    <w:rsid w:val="004E172D"/>
    <w:rsid w:val="004E1A78"/>
    <w:rsid w:val="004E2F66"/>
    <w:rsid w:val="004E6A1E"/>
    <w:rsid w:val="004F67ED"/>
    <w:rsid w:val="005222E4"/>
    <w:rsid w:val="00527011"/>
    <w:rsid w:val="005427BF"/>
    <w:rsid w:val="00547426"/>
    <w:rsid w:val="005506AF"/>
    <w:rsid w:val="00560AD1"/>
    <w:rsid w:val="00566FA4"/>
    <w:rsid w:val="00571284"/>
    <w:rsid w:val="0057372D"/>
    <w:rsid w:val="005849EF"/>
    <w:rsid w:val="005975A2"/>
    <w:rsid w:val="005A649C"/>
    <w:rsid w:val="005C3969"/>
    <w:rsid w:val="005C7772"/>
    <w:rsid w:val="005D0E06"/>
    <w:rsid w:val="00605121"/>
    <w:rsid w:val="00613D4D"/>
    <w:rsid w:val="006161B8"/>
    <w:rsid w:val="0063687E"/>
    <w:rsid w:val="00636CF9"/>
    <w:rsid w:val="00637DBD"/>
    <w:rsid w:val="00650459"/>
    <w:rsid w:val="00655869"/>
    <w:rsid w:val="00660A11"/>
    <w:rsid w:val="00664743"/>
    <w:rsid w:val="00672B05"/>
    <w:rsid w:val="00672FA3"/>
    <w:rsid w:val="006D0C58"/>
    <w:rsid w:val="006D3DC3"/>
    <w:rsid w:val="006E6031"/>
    <w:rsid w:val="006E6D33"/>
    <w:rsid w:val="006F5C9F"/>
    <w:rsid w:val="00722931"/>
    <w:rsid w:val="00725791"/>
    <w:rsid w:val="00737473"/>
    <w:rsid w:val="007414FE"/>
    <w:rsid w:val="0074429B"/>
    <w:rsid w:val="00751DE6"/>
    <w:rsid w:val="007648D4"/>
    <w:rsid w:val="00765194"/>
    <w:rsid w:val="00765BCB"/>
    <w:rsid w:val="007902D8"/>
    <w:rsid w:val="007B44CE"/>
    <w:rsid w:val="007C296A"/>
    <w:rsid w:val="007C5B52"/>
    <w:rsid w:val="007D7C2F"/>
    <w:rsid w:val="007F1B40"/>
    <w:rsid w:val="007F5EC6"/>
    <w:rsid w:val="0080492B"/>
    <w:rsid w:val="00805F4C"/>
    <w:rsid w:val="0083386C"/>
    <w:rsid w:val="00836743"/>
    <w:rsid w:val="00851ADC"/>
    <w:rsid w:val="00853F73"/>
    <w:rsid w:val="008731E1"/>
    <w:rsid w:val="00887D44"/>
    <w:rsid w:val="0089210C"/>
    <w:rsid w:val="008B0C62"/>
    <w:rsid w:val="008B6502"/>
    <w:rsid w:val="008C07B9"/>
    <w:rsid w:val="008C1BE8"/>
    <w:rsid w:val="008D1634"/>
    <w:rsid w:val="008D4DD9"/>
    <w:rsid w:val="008D5B11"/>
    <w:rsid w:val="008D5F27"/>
    <w:rsid w:val="008D7B4A"/>
    <w:rsid w:val="008E67E4"/>
    <w:rsid w:val="008F2C75"/>
    <w:rsid w:val="008F5A0D"/>
    <w:rsid w:val="008F5F85"/>
    <w:rsid w:val="00905ADA"/>
    <w:rsid w:val="00907366"/>
    <w:rsid w:val="00914063"/>
    <w:rsid w:val="00915C8E"/>
    <w:rsid w:val="00932ECC"/>
    <w:rsid w:val="00941BF4"/>
    <w:rsid w:val="00944E92"/>
    <w:rsid w:val="0096091D"/>
    <w:rsid w:val="009623B1"/>
    <w:rsid w:val="009743CE"/>
    <w:rsid w:val="009926C3"/>
    <w:rsid w:val="009B4C9D"/>
    <w:rsid w:val="009B5963"/>
    <w:rsid w:val="009D5A72"/>
    <w:rsid w:val="009D5B7B"/>
    <w:rsid w:val="009E5012"/>
    <w:rsid w:val="009F029D"/>
    <w:rsid w:val="009F3FD5"/>
    <w:rsid w:val="00A2416F"/>
    <w:rsid w:val="00A37313"/>
    <w:rsid w:val="00A41455"/>
    <w:rsid w:val="00A42E40"/>
    <w:rsid w:val="00A44FAE"/>
    <w:rsid w:val="00A51625"/>
    <w:rsid w:val="00A625C5"/>
    <w:rsid w:val="00A631E4"/>
    <w:rsid w:val="00A665AB"/>
    <w:rsid w:val="00A72548"/>
    <w:rsid w:val="00A733A9"/>
    <w:rsid w:val="00A77E64"/>
    <w:rsid w:val="00A83AC6"/>
    <w:rsid w:val="00A93800"/>
    <w:rsid w:val="00AA09E4"/>
    <w:rsid w:val="00AA69CE"/>
    <w:rsid w:val="00AD0BF3"/>
    <w:rsid w:val="00AD2B35"/>
    <w:rsid w:val="00AE7DBB"/>
    <w:rsid w:val="00AF5C67"/>
    <w:rsid w:val="00AF5CC7"/>
    <w:rsid w:val="00B0552D"/>
    <w:rsid w:val="00B063D3"/>
    <w:rsid w:val="00B31AA7"/>
    <w:rsid w:val="00B337A5"/>
    <w:rsid w:val="00B4018A"/>
    <w:rsid w:val="00B56148"/>
    <w:rsid w:val="00B65CD5"/>
    <w:rsid w:val="00B6681F"/>
    <w:rsid w:val="00B66C2E"/>
    <w:rsid w:val="00B76487"/>
    <w:rsid w:val="00BC1629"/>
    <w:rsid w:val="00BC2CA6"/>
    <w:rsid w:val="00BD1BB3"/>
    <w:rsid w:val="00BF73B2"/>
    <w:rsid w:val="00C04FA8"/>
    <w:rsid w:val="00C06E72"/>
    <w:rsid w:val="00C17377"/>
    <w:rsid w:val="00C17802"/>
    <w:rsid w:val="00C23C60"/>
    <w:rsid w:val="00C4056C"/>
    <w:rsid w:val="00C4254F"/>
    <w:rsid w:val="00C44807"/>
    <w:rsid w:val="00C4539F"/>
    <w:rsid w:val="00C478C1"/>
    <w:rsid w:val="00C560A9"/>
    <w:rsid w:val="00C566DB"/>
    <w:rsid w:val="00C710EB"/>
    <w:rsid w:val="00CA3016"/>
    <w:rsid w:val="00CD1ADB"/>
    <w:rsid w:val="00CD6630"/>
    <w:rsid w:val="00CF0943"/>
    <w:rsid w:val="00D0239B"/>
    <w:rsid w:val="00D02F70"/>
    <w:rsid w:val="00D1383C"/>
    <w:rsid w:val="00D14D00"/>
    <w:rsid w:val="00D21E93"/>
    <w:rsid w:val="00D448C4"/>
    <w:rsid w:val="00D50210"/>
    <w:rsid w:val="00D61115"/>
    <w:rsid w:val="00D660D2"/>
    <w:rsid w:val="00D66F84"/>
    <w:rsid w:val="00D73466"/>
    <w:rsid w:val="00D772B4"/>
    <w:rsid w:val="00D9298F"/>
    <w:rsid w:val="00DA27CE"/>
    <w:rsid w:val="00DA329B"/>
    <w:rsid w:val="00DA7827"/>
    <w:rsid w:val="00DB3195"/>
    <w:rsid w:val="00DD392F"/>
    <w:rsid w:val="00DD3B9F"/>
    <w:rsid w:val="00DD4CD3"/>
    <w:rsid w:val="00DF7B8F"/>
    <w:rsid w:val="00E00422"/>
    <w:rsid w:val="00E15AD0"/>
    <w:rsid w:val="00E32E15"/>
    <w:rsid w:val="00E35136"/>
    <w:rsid w:val="00E408C6"/>
    <w:rsid w:val="00E474DB"/>
    <w:rsid w:val="00E64118"/>
    <w:rsid w:val="00E71F04"/>
    <w:rsid w:val="00E80BBF"/>
    <w:rsid w:val="00E87F21"/>
    <w:rsid w:val="00EA08FA"/>
    <w:rsid w:val="00EC3D5B"/>
    <w:rsid w:val="00ED38AF"/>
    <w:rsid w:val="00ED4203"/>
    <w:rsid w:val="00ED55A7"/>
    <w:rsid w:val="00EF1CEF"/>
    <w:rsid w:val="00F044A0"/>
    <w:rsid w:val="00F049D4"/>
    <w:rsid w:val="00F05EF3"/>
    <w:rsid w:val="00F202CB"/>
    <w:rsid w:val="00F23B5A"/>
    <w:rsid w:val="00F33CD5"/>
    <w:rsid w:val="00F41ED3"/>
    <w:rsid w:val="00F4560E"/>
    <w:rsid w:val="00F64C56"/>
    <w:rsid w:val="00F70E0D"/>
    <w:rsid w:val="00F828AD"/>
    <w:rsid w:val="00FA1EEE"/>
    <w:rsid w:val="00FA4885"/>
    <w:rsid w:val="00FB519C"/>
    <w:rsid w:val="00FB65E4"/>
    <w:rsid w:val="00FC35EE"/>
    <w:rsid w:val="00FE14FA"/>
    <w:rsid w:val="00FE28BA"/>
    <w:rsid w:val="00FE3EF3"/>
    <w:rsid w:val="00FF6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93A90"/>
  <w15:chartTrackingRefBased/>
  <w15:docId w15:val="{71D5BF1D-E6CC-F14E-B731-F0C63CB13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DD9"/>
  </w:style>
  <w:style w:type="paragraph" w:styleId="Heading1">
    <w:name w:val="heading 1"/>
    <w:basedOn w:val="Normal"/>
    <w:next w:val="Normal"/>
    <w:link w:val="Heading1Char"/>
    <w:uiPriority w:val="9"/>
    <w:qFormat/>
    <w:rsid w:val="0076519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6519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6519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112C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112C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112C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112C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E15AD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15AD0"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F05EF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5EF3"/>
  </w:style>
  <w:style w:type="character" w:styleId="PageNumber">
    <w:name w:val="page number"/>
    <w:basedOn w:val="DefaultParagraphFont"/>
    <w:uiPriority w:val="99"/>
    <w:semiHidden/>
    <w:unhideWhenUsed/>
    <w:rsid w:val="00F05EF3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F5C9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F65F3"/>
  </w:style>
  <w:style w:type="character" w:styleId="CommentReference">
    <w:name w:val="annotation reference"/>
    <w:basedOn w:val="DefaultParagraphFont"/>
    <w:uiPriority w:val="99"/>
    <w:semiHidden/>
    <w:unhideWhenUsed/>
    <w:rsid w:val="00941B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1BF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1BF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1B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1BF4"/>
    <w:rPr>
      <w:b/>
      <w:bCs/>
      <w:sz w:val="20"/>
      <w:szCs w:val="20"/>
    </w:rPr>
  </w:style>
  <w:style w:type="paragraph" w:styleId="ListParagraph">
    <w:name w:val="List Paragraph"/>
    <w:aliases w:val="List_Paragraph,Multilevel para_II,List Paragraph1,Akapit z listą BS,Bullet1,Bullets,List Paragraph 1,References,List Paragraph (numbered (a)),IBL List Paragraph,List Paragraph nowy,Numbered List Paragraph,Liste 1,List Bullet Mary,b1,3"/>
    <w:basedOn w:val="Normal"/>
    <w:link w:val="ListParagraphChar"/>
    <w:uiPriority w:val="34"/>
    <w:qFormat/>
    <w:rsid w:val="008D4DD9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613D4D"/>
    <w:rPr>
      <w:b/>
      <w:bCs/>
    </w:rPr>
  </w:style>
  <w:style w:type="character" w:customStyle="1" w:styleId="apple-converted-space">
    <w:name w:val="apple-converted-space"/>
    <w:basedOn w:val="DefaultParagraphFont"/>
    <w:rsid w:val="00613D4D"/>
  </w:style>
  <w:style w:type="character" w:customStyle="1" w:styleId="Heading1Char">
    <w:name w:val="Heading 1 Char"/>
    <w:basedOn w:val="DefaultParagraphFont"/>
    <w:link w:val="Heading1"/>
    <w:uiPriority w:val="9"/>
    <w:rsid w:val="007651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6519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65194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TOCHeading">
    <w:name w:val="TOC Heading"/>
    <w:basedOn w:val="Heading1"/>
    <w:next w:val="Normal"/>
    <w:uiPriority w:val="39"/>
    <w:unhideWhenUsed/>
    <w:qFormat/>
    <w:rsid w:val="00D772B4"/>
    <w:pPr>
      <w:spacing w:before="480" w:line="276" w:lineRule="auto"/>
      <w:outlineLvl w:val="9"/>
    </w:pPr>
    <w:rPr>
      <w:b/>
      <w:bCs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6D3DC3"/>
    <w:pPr>
      <w:tabs>
        <w:tab w:val="right" w:leader="dot" w:pos="9962"/>
      </w:tabs>
      <w:spacing w:before="120"/>
    </w:pPr>
    <w:rPr>
      <w:rFonts w:ascii="GHEA Grapalat" w:hAnsi="GHEA Grapalat" w:cstheme="minorHAnsi"/>
      <w:noProof/>
      <w:sz w:val="18"/>
      <w:szCs w:val="18"/>
      <w:lang w:val="hy-AM"/>
    </w:rPr>
  </w:style>
  <w:style w:type="paragraph" w:styleId="TOC2">
    <w:name w:val="toc 2"/>
    <w:basedOn w:val="Normal"/>
    <w:next w:val="Normal"/>
    <w:autoRedefine/>
    <w:uiPriority w:val="39"/>
    <w:unhideWhenUsed/>
    <w:rsid w:val="00D772B4"/>
    <w:pPr>
      <w:spacing w:before="120"/>
      <w:ind w:left="240"/>
    </w:pPr>
    <w:rPr>
      <w:rFonts w:cstheme="minorHAnsi"/>
      <w:b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D772B4"/>
    <w:pPr>
      <w:ind w:left="480"/>
    </w:pPr>
    <w:rPr>
      <w:rFonts w:cs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D772B4"/>
    <w:pPr>
      <w:ind w:left="720"/>
    </w:pPr>
    <w:rPr>
      <w:rFonts w:cs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D772B4"/>
    <w:pPr>
      <w:ind w:left="960"/>
    </w:pPr>
    <w:rPr>
      <w:rFonts w:cs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D772B4"/>
    <w:pPr>
      <w:ind w:left="1200"/>
    </w:pPr>
    <w:rPr>
      <w:rFonts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D772B4"/>
    <w:pPr>
      <w:ind w:left="1440"/>
    </w:pPr>
    <w:rPr>
      <w:rFonts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D772B4"/>
    <w:pPr>
      <w:ind w:left="1680"/>
    </w:pPr>
    <w:rPr>
      <w:rFonts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D772B4"/>
    <w:pPr>
      <w:ind w:left="1920"/>
    </w:pPr>
    <w:rPr>
      <w:rFonts w:cstheme="minorHAnsi"/>
      <w:sz w:val="20"/>
      <w:szCs w:val="20"/>
    </w:rPr>
  </w:style>
  <w:style w:type="character" w:customStyle="1" w:styleId="ListParagraphChar">
    <w:name w:val="List Paragraph Char"/>
    <w:aliases w:val="List_Paragraph Char,Multilevel para_II Char,List Paragraph1 Char,Akapit z listą BS Char,Bullet1 Char,Bullets Char,List Paragraph 1 Char,References Char,List Paragraph (numbered (a)) Char,IBL List Paragraph Char,Liste 1 Char,b1 Char"/>
    <w:link w:val="ListParagraph"/>
    <w:uiPriority w:val="34"/>
    <w:qFormat/>
    <w:locked/>
    <w:rsid w:val="000366A9"/>
  </w:style>
  <w:style w:type="paragraph" w:styleId="BalloonText">
    <w:name w:val="Balloon Text"/>
    <w:basedOn w:val="Normal"/>
    <w:link w:val="BalloonTextChar"/>
    <w:uiPriority w:val="99"/>
    <w:semiHidden/>
    <w:unhideWhenUsed/>
    <w:rsid w:val="008C1B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1BE8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D3DC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3DC3"/>
  </w:style>
  <w:style w:type="character" w:styleId="UnresolvedMention">
    <w:name w:val="Unresolved Mention"/>
    <w:basedOn w:val="DefaultParagraphFont"/>
    <w:uiPriority w:val="99"/>
    <w:semiHidden/>
    <w:unhideWhenUsed/>
    <w:rsid w:val="000263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36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1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10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1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58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31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05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97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16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3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4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4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23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10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9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230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15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96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68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54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30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10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89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18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68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9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26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622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1526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97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74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03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0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8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23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documents1.worldbank.org/curated/en/294331530217033360/ESF-Guidance-Note-5-Land-Acquisition-Restrictions-on-Land-Use-and-Involuntary-Resettlement-English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38FB28E-33FC-4D25-BB20-3B6726887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15</Pages>
  <Words>6061</Words>
  <Characters>34549</Characters>
  <Application>Microsoft Office Word</Application>
  <DocSecurity>0</DocSecurity>
  <Lines>287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Gohar Avagyan</dc:creator>
  <cp:keywords/>
  <dc:description/>
  <cp:lastModifiedBy>Gohar Avagyan</cp:lastModifiedBy>
  <cp:revision>20</cp:revision>
  <cp:lastPrinted>2022-03-25T11:05:00Z</cp:lastPrinted>
  <dcterms:created xsi:type="dcterms:W3CDTF">2022-02-28T06:54:00Z</dcterms:created>
  <dcterms:modified xsi:type="dcterms:W3CDTF">2022-04-06T14:16:00Z</dcterms:modified>
</cp:coreProperties>
</file>